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rPr>
          <w:color w:val="000000"/>
          <w:sz w:val="22"/>
          <w:szCs w:val="22"/>
        </w:rPr>
      </w:pPr>
      <w:r w:rsidDel="00000000" w:rsidR="00000000" w:rsidRPr="00000000">
        <w:rPr>
          <w:rtl w:val="0"/>
        </w:rPr>
      </w:r>
    </w:p>
    <w:tbl>
      <w:tblPr>
        <w:tblStyle w:val="Table1"/>
        <w:tblpPr w:leftFromText="141" w:rightFromText="141" w:topFromText="0" w:bottomFromText="0" w:vertAnchor="page" w:horzAnchor="margin" w:tblpX="0" w:tblpY="2840"/>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4390"/>
        <w:gridCol w:w="5238"/>
        <w:tblGridChange w:id="0">
          <w:tblGrid>
            <w:gridCol w:w="4390"/>
            <w:gridCol w:w="5238"/>
          </w:tblGrid>
        </w:tblGridChange>
      </w:tblGrid>
      <w:tr>
        <w:trPr>
          <w:cantSplit w:val="0"/>
          <w:trHeight w:val="404" w:hRule="atLeast"/>
          <w:tblHeader w:val="0"/>
        </w:trPr>
        <w:tc>
          <w:tcPr>
            <w:vAlign w:val="center"/>
          </w:tcPr>
          <w:p w:rsidR="00000000" w:rsidDel="00000000" w:rsidP="00000000" w:rsidRDefault="00000000" w:rsidRPr="00000000" w14:paraId="00000002">
            <w:pPr>
              <w:pStyle w:val="Heading2"/>
              <w:rPr/>
            </w:pPr>
            <w:r w:rsidDel="00000000" w:rsidR="00000000" w:rsidRPr="00000000">
              <w:rPr>
                <w:rtl w:val="0"/>
              </w:rPr>
              <w:t xml:space="preserve">název žadatele</w:t>
            </w:r>
          </w:p>
        </w:tc>
        <w:tc>
          <w:tcPr>
            <w:vAlign w:val="center"/>
          </w:tcPr>
          <w:p w:rsidR="00000000" w:rsidDel="00000000" w:rsidP="00000000" w:rsidRDefault="00000000" w:rsidRPr="00000000" w14:paraId="00000003">
            <w:pPr>
              <w:rPr/>
            </w:pPr>
            <w:r w:rsidDel="00000000" w:rsidR="00000000" w:rsidRPr="00000000">
              <w:rPr>
                <w:rtl w:val="0"/>
              </w:rPr>
            </w:r>
          </w:p>
        </w:tc>
      </w:tr>
      <w:tr>
        <w:trPr>
          <w:cantSplit w:val="0"/>
          <w:trHeight w:val="424" w:hRule="atLeast"/>
          <w:tblHeader w:val="0"/>
        </w:trPr>
        <w:tc>
          <w:tcPr>
            <w:vAlign w:val="center"/>
          </w:tcPr>
          <w:p w:rsidR="00000000" w:rsidDel="00000000" w:rsidP="00000000" w:rsidRDefault="00000000" w:rsidRPr="00000000" w14:paraId="00000004">
            <w:pPr>
              <w:pStyle w:val="Heading2"/>
              <w:rPr/>
            </w:pPr>
            <w:r w:rsidDel="00000000" w:rsidR="00000000" w:rsidRPr="00000000">
              <w:rPr>
                <w:rtl w:val="0"/>
              </w:rPr>
              <w:t xml:space="preserve">název projektu</w:t>
            </w:r>
          </w:p>
        </w:tc>
        <w:tc>
          <w:tcPr>
            <w:vAlign w:val="center"/>
          </w:tcPr>
          <w:p w:rsidR="00000000" w:rsidDel="00000000" w:rsidP="00000000" w:rsidRDefault="00000000" w:rsidRPr="00000000" w14:paraId="00000005">
            <w:pPr>
              <w:rPr/>
            </w:pPr>
            <w:r w:rsidDel="00000000" w:rsidR="00000000" w:rsidRPr="00000000">
              <w:rPr>
                <w:rtl w:val="0"/>
              </w:rPr>
              <w:t xml:space="preserve"> </w:t>
            </w:r>
          </w:p>
        </w:tc>
      </w:tr>
      <w:tr>
        <w:trPr>
          <w:cantSplit w:val="0"/>
          <w:trHeight w:val="416" w:hRule="atLeast"/>
          <w:tblHeader w:val="0"/>
        </w:trPr>
        <w:tc>
          <w:tcPr>
            <w:vAlign w:val="center"/>
          </w:tcPr>
          <w:p w:rsidR="00000000" w:rsidDel="00000000" w:rsidP="00000000" w:rsidRDefault="00000000" w:rsidRPr="00000000" w14:paraId="00000006">
            <w:pPr>
              <w:pStyle w:val="Heading2"/>
              <w:rPr/>
            </w:pPr>
            <w:r w:rsidDel="00000000" w:rsidR="00000000" w:rsidRPr="00000000">
              <w:rPr>
                <w:rtl w:val="0"/>
              </w:rPr>
              <w:t xml:space="preserve">dotační kategorie</w:t>
            </w:r>
          </w:p>
        </w:tc>
        <w:tc>
          <w:tcPr>
            <w:vAlign w:val="center"/>
          </w:tcPr>
          <w:p w:rsidR="00000000" w:rsidDel="00000000" w:rsidP="00000000" w:rsidRDefault="00000000" w:rsidRPr="00000000" w14:paraId="00000007">
            <w:pPr>
              <w:rPr/>
            </w:pPr>
            <w:r w:rsidDel="00000000" w:rsidR="00000000" w:rsidRPr="00000000">
              <w:rPr>
                <w:rtl w:val="0"/>
              </w:rPr>
              <w:t xml:space="preserve">Podpora animovaných audiovizuálních děl a videoher</w:t>
            </w:r>
          </w:p>
        </w:tc>
      </w:tr>
      <w:tr>
        <w:trPr>
          <w:cantSplit w:val="0"/>
          <w:trHeight w:val="408" w:hRule="atLeast"/>
          <w:tblHeader w:val="0"/>
        </w:trPr>
        <w:tc>
          <w:tcPr>
            <w:vAlign w:val="center"/>
          </w:tcPr>
          <w:p w:rsidR="00000000" w:rsidDel="00000000" w:rsidP="00000000" w:rsidRDefault="00000000" w:rsidRPr="00000000" w14:paraId="00000008">
            <w:pPr>
              <w:pStyle w:val="Heading2"/>
              <w:rPr/>
            </w:pPr>
            <w:r w:rsidDel="00000000" w:rsidR="00000000" w:rsidRPr="00000000">
              <w:rPr>
                <w:rtl w:val="0"/>
              </w:rPr>
              <w:t xml:space="preserve">dotační okruh</w:t>
            </w:r>
          </w:p>
        </w:tc>
        <w:tc>
          <w:tcPr>
            <w:vAlign w:val="center"/>
          </w:tcPr>
          <w:p w:rsidR="00000000" w:rsidDel="00000000" w:rsidP="00000000" w:rsidRDefault="00000000" w:rsidRPr="00000000" w14:paraId="00000009">
            <w:pPr>
              <w:rPr/>
            </w:pPr>
            <w:r w:rsidDel="00000000" w:rsidR="00000000" w:rsidRPr="00000000">
              <w:rPr>
                <w:rtl w:val="0"/>
              </w:rPr>
              <w:t xml:space="preserve">Vývoj českého audiovizuálního díla</w:t>
            </w:r>
          </w:p>
        </w:tc>
      </w:tr>
      <w:tr>
        <w:trPr>
          <w:cantSplit w:val="0"/>
          <w:trHeight w:val="414" w:hRule="atLeast"/>
          <w:tblHeader w:val="0"/>
        </w:trPr>
        <w:tc>
          <w:tcPr>
            <w:vAlign w:val="center"/>
          </w:tcPr>
          <w:p w:rsidR="00000000" w:rsidDel="00000000" w:rsidP="00000000" w:rsidRDefault="00000000" w:rsidRPr="00000000" w14:paraId="0000000A">
            <w:pPr>
              <w:pStyle w:val="Heading2"/>
              <w:rPr/>
            </w:pPr>
            <w:r w:rsidDel="00000000" w:rsidR="00000000" w:rsidRPr="00000000">
              <w:rPr>
                <w:rtl w:val="0"/>
              </w:rPr>
              <w:t xml:space="preserve">číslo a název výzvy</w:t>
            </w:r>
          </w:p>
        </w:tc>
        <w:tc>
          <w:tcPr>
            <w:vAlign w:val="center"/>
          </w:tcPr>
          <w:p w:rsidR="00000000" w:rsidDel="00000000" w:rsidP="00000000" w:rsidRDefault="00000000" w:rsidRPr="00000000" w14:paraId="0000000B">
            <w:pPr>
              <w:rPr>
                <w:color w:val="000000"/>
                <w:sz w:val="18"/>
                <w:szCs w:val="18"/>
              </w:rPr>
            </w:pPr>
            <w:r w:rsidDel="00000000" w:rsidR="00000000" w:rsidRPr="00000000">
              <w:rPr>
                <w:color w:val="000000"/>
                <w:sz w:val="18"/>
                <w:szCs w:val="18"/>
                <w:rtl w:val="0"/>
              </w:rPr>
              <w:t xml:space="preserve">2027-C-1-1-6</w:t>
            </w:r>
            <w:r w:rsidDel="00000000" w:rsidR="00000000" w:rsidRPr="00000000">
              <w:rPr>
                <w:rtl w:val="0"/>
              </w:rPr>
              <w:t xml:space="preserve"> Kompletní vývoj animovaného filmu nebo seriálu</w:t>
            </w:r>
            <w:r w:rsidDel="00000000" w:rsidR="00000000" w:rsidRPr="00000000">
              <w:rPr>
                <w:rtl w:val="0"/>
              </w:rPr>
            </w:r>
          </w:p>
        </w:tc>
      </w:tr>
    </w:tbl>
    <w:p w:rsidR="00000000" w:rsidDel="00000000" w:rsidP="00000000" w:rsidRDefault="00000000" w:rsidRPr="00000000" w14:paraId="0000000C">
      <w:pPr>
        <w:pStyle w:val="Heading1"/>
        <w:spacing w:line="276" w:lineRule="auto"/>
        <w:rPr/>
      </w:pPr>
      <w:r w:rsidDel="00000000" w:rsidR="00000000" w:rsidRPr="00000000">
        <w:rPr>
          <w:rtl w:val="0"/>
        </w:rPr>
        <w:t xml:space="preserve">Kreativní balíček </w:t>
      </w:r>
    </w:p>
    <w:p w:rsidR="00000000" w:rsidDel="00000000" w:rsidP="00000000" w:rsidRDefault="00000000" w:rsidRPr="00000000" w14:paraId="0000000D">
      <w:pPr>
        <w:pStyle w:val="Heading1"/>
        <w:spacing w:line="276" w:lineRule="auto"/>
        <w:rPr/>
      </w:pPr>
      <w:r w:rsidDel="00000000" w:rsidR="00000000" w:rsidRPr="00000000">
        <w:rPr>
          <w:rtl w:val="0"/>
        </w:rPr>
        <w:t xml:space="preserve">Kompletní vývoj animovaného filmu nebo seriálu</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Kreativní balíček se odevzdává jako jeden soubor v PDF, který obsahuje tuto úvodní stránku a následující povinné položky v daném pořadí (autorská, dramaturgická a producentská explikace by u opakovaně podaných projektů měly zahrnovat popisy změn, které se u projektu staly mezi rozhodnutím o nepodpoře a opakovanou žádostí o podporu):</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Synopse v délce max. 1 800 znaků včetně mezer</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221e1f"/>
          <w:sz w:val="19"/>
          <w:szCs w:val="19"/>
          <w:u w:val="none"/>
          <w:shd w:fill="auto" w:val="clear"/>
          <w:vertAlign w:val="baseline"/>
          <w:rtl w:val="0"/>
        </w:rPr>
        <w:t xml:space="preserve">Treatment, z něhož musí být jasný děj a struktura filmu či seriálu (v případě seriálu musí jít o treatment seriálu jako celku), v délce max. 21 600 znaků včetně mezer</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Autorská explikace zpracovaná režisérem nebo scenáristou </w:t>
      </w:r>
      <w:r w:rsidDel="00000000" w:rsidR="00000000" w:rsidRPr="00000000">
        <w:rPr>
          <w:color w:val="000000"/>
          <w:rtl w:val="0"/>
        </w:rPr>
        <w:t xml:space="preserve">v délce max. 5 400 znaků včetně mezer</w:t>
      </w:r>
      <w:r w:rsidDel="00000000" w:rsidR="00000000" w:rsidRPr="00000000">
        <w:rPr>
          <w:rtl w:val="0"/>
        </w:rPr>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Dramaturgická explikace (max. 5 400 znaků včetně mezer)</w:t>
      </w:r>
    </w:p>
    <w:p w:rsidR="00000000" w:rsidDel="00000000" w:rsidP="00000000" w:rsidRDefault="00000000" w:rsidRPr="00000000" w14:paraId="00000017">
      <w:pPr>
        <w:numPr>
          <w:ilvl w:val="0"/>
          <w:numId w:val="1"/>
        </w:numPr>
        <w:ind w:left="720" w:hanging="360"/>
        <w:rPr>
          <w:color w:val="000000"/>
        </w:rPr>
      </w:pPr>
      <w:r w:rsidDel="00000000" w:rsidR="00000000" w:rsidRPr="00000000">
        <w:rPr>
          <w:color w:val="000000"/>
          <w:rtl w:val="0"/>
        </w:rPr>
        <w:t xml:space="preserve">Producentská explikace realizačního záměru v délce max. 5 400 znaků včetně mezer</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Moodboard a/nebo výtvarné návrhy – podoba základní vize o zvoleném výtvarném zpracování v rozsahu umožňujícím představu o vizuální stránce díla (včetně např. předchozí práce animátora či jeho ilustrace, kterým by se mělo nové audiovizuální dílo podobat atp.) Pokud jsou moodboard, výtvarné návrhy či některé jejich části vytvořeny pomocí AI, musí to být na materiálech jasně označeno. Označení AI musí obsahovat každý daný obrázek. Moodboard a </w:t>
      </w:r>
      <w:r w:rsidDel="00000000" w:rsidR="00000000" w:rsidRPr="00000000">
        <w:rPr>
          <w:rtl w:val="0"/>
        </w:rPr>
        <w:t xml:space="preserve">autorské</w:t>
      </w:r>
      <w:r w:rsidDel="00000000" w:rsidR="00000000" w:rsidRPr="00000000">
        <w:rPr>
          <w:rtl w:val="0"/>
        </w:rPr>
        <w:t xml:space="preserve"> výtvarné návrhy musí rovněž být jasně odděleny a označeny</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rPr/>
      </w:pPr>
      <w:r w:rsidDel="00000000" w:rsidR="00000000" w:rsidRPr="00000000">
        <w:rPr>
          <w:rtl w:val="0"/>
        </w:rPr>
        <w:t xml:space="preserve">Nepovinné přílohy: </w:t>
      </w:r>
    </w:p>
    <w:p w:rsidR="00000000" w:rsidDel="00000000" w:rsidP="00000000" w:rsidRDefault="00000000" w:rsidRPr="00000000" w14:paraId="0000001B">
      <w:pPr>
        <w:numPr>
          <w:ilvl w:val="0"/>
          <w:numId w:val="2"/>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Odkaz na audiovizuální ukázku</w:t>
      </w:r>
    </w:p>
    <w:p w:rsidR="00000000" w:rsidDel="00000000" w:rsidP="00000000" w:rsidRDefault="00000000" w:rsidRPr="00000000" w14:paraId="0000001C">
      <w:pPr>
        <w:numPr>
          <w:ilvl w:val="0"/>
          <w:numId w:val="2"/>
        </w:numPr>
        <w:spacing w:line="360" w:lineRule="auto"/>
        <w:ind w:left="720" w:hanging="360"/>
        <w:rPr/>
      </w:pPr>
      <w:r w:rsidDel="00000000" w:rsidR="00000000" w:rsidRPr="00000000">
        <w:rPr>
          <w:color w:val="000000"/>
          <w:rtl w:val="0"/>
        </w:rPr>
        <w:t xml:space="preserve">Stručné strukturované životopisy potvrzených členů kreativního týmu</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rPr/>
      </w:pPr>
      <w:r w:rsidDel="00000000" w:rsidR="00000000" w:rsidRPr="00000000">
        <w:rPr>
          <w:rtl w:val="0"/>
        </w:rPr>
        <w:t xml:space="preserve">Případné audiovizuální materiály (audiovizuální ukázky apod.) je nutné zpřístupnit prostřednictvím služby vimeo či obdobné služby určené pro streamování videa.</w:t>
      </w:r>
    </w:p>
    <w:p w:rsidR="00000000" w:rsidDel="00000000" w:rsidP="00000000" w:rsidRDefault="00000000" w:rsidRPr="00000000" w14:paraId="0000001F">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rPr/>
      </w:pPr>
      <w:r w:rsidDel="00000000" w:rsidR="00000000" w:rsidRPr="00000000">
        <w:rPr>
          <w:rtl w:val="0"/>
        </w:rPr>
        <w:t xml:space="preserve">Odkaz může být zajištěn heslem, které musí být uvedeno v popisu projektu. </w:t>
      </w:r>
    </w:p>
    <w:p w:rsidR="00000000" w:rsidDel="00000000" w:rsidP="00000000" w:rsidRDefault="00000000" w:rsidRPr="00000000" w14:paraId="00000021">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rPr/>
      </w:pPr>
      <w:r w:rsidDel="00000000" w:rsidR="00000000" w:rsidRPr="00000000">
        <w:rPr>
          <w:rtl w:val="0"/>
        </w:rPr>
        <w:t xml:space="preserve">Odkaz musí být přístupný až do rozhodnutí Rady.</w:t>
      </w:r>
    </w:p>
    <w:p w:rsidR="00000000" w:rsidDel="00000000" w:rsidP="00000000" w:rsidRDefault="00000000" w:rsidRPr="00000000" w14:paraId="00000023">
      <w:pPr>
        <w:rPr/>
      </w:pPr>
      <w:r w:rsidDel="00000000" w:rsidR="00000000" w:rsidRPr="00000000">
        <w:rPr>
          <w:rtl w:val="0"/>
        </w:rPr>
      </w:r>
    </w:p>
    <w:tbl>
      <w:tblPr>
        <w:tblStyle w:val="Table2"/>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3539"/>
        <w:gridCol w:w="6089"/>
        <w:tblGridChange w:id="0">
          <w:tblGrid>
            <w:gridCol w:w="3539"/>
            <w:gridCol w:w="6089"/>
          </w:tblGrid>
        </w:tblGridChange>
      </w:tblGrid>
      <w:tr>
        <w:trPr>
          <w:cantSplit w:val="0"/>
          <w:trHeight w:val="510" w:hRule="atLeast"/>
          <w:tblHeader w:val="0"/>
        </w:trPr>
        <w:tc>
          <w:tcPr>
            <w:vAlign w:val="center"/>
          </w:tcPr>
          <w:p w:rsidR="00000000" w:rsidDel="00000000" w:rsidP="00000000" w:rsidRDefault="00000000" w:rsidRPr="00000000" w14:paraId="00000024">
            <w:pPr>
              <w:pStyle w:val="Heading2"/>
              <w:rPr/>
            </w:pPr>
            <w:r w:rsidDel="00000000" w:rsidR="00000000" w:rsidRPr="00000000">
              <w:rPr>
                <w:rtl w:val="0"/>
              </w:rPr>
              <w:t xml:space="preserve">odkaz pro audiovizuální ukázky</w:t>
            </w:r>
          </w:p>
        </w:tc>
        <w:tc>
          <w:tcPr>
            <w:vAlign w:val="center"/>
          </w:tcPr>
          <w:p w:rsidR="00000000" w:rsidDel="00000000" w:rsidP="00000000" w:rsidRDefault="00000000" w:rsidRPr="00000000" w14:paraId="00000025">
            <w:pPr>
              <w:rPr/>
            </w:pP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026">
            <w:pPr>
              <w:pStyle w:val="Heading2"/>
              <w:rPr/>
            </w:pPr>
            <w:r w:rsidDel="00000000" w:rsidR="00000000" w:rsidRPr="00000000">
              <w:rPr>
                <w:rtl w:val="0"/>
              </w:rPr>
              <w:t xml:space="preserve">heslo </w:t>
            </w:r>
          </w:p>
        </w:tc>
        <w:tc>
          <w:tcPr>
            <w:vAlign w:val="center"/>
          </w:tcPr>
          <w:p w:rsidR="00000000" w:rsidDel="00000000" w:rsidP="00000000" w:rsidRDefault="00000000" w:rsidRPr="00000000" w14:paraId="00000027">
            <w:pPr>
              <w:rPr/>
            </w:pP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028">
            <w:pPr>
              <w:pStyle w:val="Heading2"/>
              <w:rPr/>
            </w:pPr>
            <w:r w:rsidDel="00000000" w:rsidR="00000000" w:rsidRPr="00000000">
              <w:rPr>
                <w:rtl w:val="0"/>
              </w:rPr>
              <w:t xml:space="preserve">stručný popis audiovizuálního materiálu</w:t>
            </w:r>
          </w:p>
        </w:tc>
        <w:tc>
          <w:tcPr>
            <w:vAlign w:val="center"/>
          </w:tcPr>
          <w:p w:rsidR="00000000" w:rsidDel="00000000" w:rsidP="00000000" w:rsidRDefault="00000000" w:rsidRPr="00000000" w14:paraId="00000029">
            <w:pPr>
              <w:rPr/>
            </w:pPr>
            <w:r w:rsidDel="00000000" w:rsidR="00000000" w:rsidRPr="00000000">
              <w:rPr>
                <w:rtl w:val="0"/>
              </w:rPr>
            </w:r>
          </w:p>
        </w:tc>
      </w:tr>
    </w:tbl>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highlight w:val="yellow"/>
        </w:rPr>
      </w:pPr>
      <w:r w:rsidDel="00000000" w:rsidR="00000000" w:rsidRPr="00000000">
        <w:rPr>
          <w:rtl w:val="0"/>
        </w:rPr>
      </w:r>
    </w:p>
    <w:p w:rsidR="00000000" w:rsidDel="00000000" w:rsidP="00000000" w:rsidRDefault="00000000" w:rsidRPr="00000000" w14:paraId="0000002D">
      <w:pPr>
        <w:rPr>
          <w:highlight w:val="yellow"/>
        </w:rPr>
      </w:pPr>
      <w:r w:rsidDel="00000000" w:rsidR="00000000" w:rsidRPr="00000000">
        <w:rPr>
          <w:rtl w:val="0"/>
        </w:rPr>
      </w:r>
    </w:p>
    <w:p w:rsidR="00000000" w:rsidDel="00000000" w:rsidP="00000000" w:rsidRDefault="00000000" w:rsidRPr="00000000" w14:paraId="0000002E">
      <w:pPr>
        <w:rPr/>
      </w:pPr>
      <w:bookmarkStart w:colFirst="0" w:colLast="0" w:name="_heading=h.o3559f3shtm6" w:id="0"/>
      <w:bookmarkEnd w:id="0"/>
      <w:r w:rsidDel="00000000" w:rsidR="00000000" w:rsidRPr="00000000">
        <w:rPr>
          <w:rtl w:val="0"/>
        </w:rPr>
        <w:t xml:space="preserve">Rada preferuje dodržení čitelnosti a přehlednosti předložených dokumentů a doporučuje držet se standardních a zavedených formátů u synopse, treatmentu a explikací.</w:t>
      </w:r>
    </w:p>
    <w:sectPr>
      <w:headerReference r:id="rId7" w:type="default"/>
      <w:footerReference r:id="rId8" w:type="default"/>
      <w:pgSz w:h="16838" w:w="11906" w:orient="portrait"/>
      <w:pgMar w:bottom="1871" w:top="1106" w:left="1134" w:right="1134" w:header="709" w:footer="85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pPr>
    <w:r w:rsidDel="00000000" w:rsidR="00000000" w:rsidRPr="00000000">
      <w:rPr>
        <w:rtl w:val="0"/>
      </w:rPr>
      <w:t xml:space="preserve">Strana </w:t>
    </w: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color w:val="000000"/>
        <w:sz w:val="18"/>
        <w:szCs w:val="18"/>
      </w:rPr>
    </w:pPr>
    <w:r w:rsidDel="00000000" w:rsidR="00000000" w:rsidRPr="00000000">
      <w:rPr>
        <w:color w:val="000000"/>
        <w:sz w:val="18"/>
        <w:szCs w:val="18"/>
        <w:rtl w:val="0"/>
      </w:rPr>
      <w:t xml:space="preserve">2027-C-1-1-6</w:t>
    </w:r>
  </w:p>
  <w:p w:rsidR="00000000" w:rsidDel="00000000" w:rsidP="00000000" w:rsidRDefault="00000000" w:rsidRPr="00000000" w14:paraId="0000003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21e1f"/>
        <w:sz w:val="19"/>
        <w:szCs w:val="19"/>
        <w:lang w:val="c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400" w:lineRule="auto"/>
    </w:pPr>
    <w:rPr>
      <w:b w:val="1"/>
      <w:bCs w:val="1"/>
      <w:color w:val="000000"/>
      <w:sz w:val="36"/>
      <w:szCs w:val="36"/>
    </w:rPr>
  </w:style>
  <w:style w:type="paragraph" w:styleId="Heading2">
    <w:name w:val="heading 2"/>
    <w:basedOn w:val="Normal"/>
    <w:next w:val="Normal"/>
    <w:pPr>
      <w:keepNext w:val="1"/>
      <w:keepLines w:val="1"/>
    </w:pPr>
    <w:rPr>
      <w:b w:val="1"/>
      <w:bCs w:val="1"/>
      <w:color w:val="000000"/>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68.0" w:type="dxa"/>
        <w:left w:w="68.0" w:type="dxa"/>
        <w:bottom w:w="68.0" w:type="dxa"/>
        <w:right w:w="68.0" w:type="dxa"/>
      </w:tblCellMar>
    </w:tblPr>
  </w:style>
  <w:style w:type="table" w:styleId="a0" w:customStyle="1">
    <w:basedOn w:val="TableNormal"/>
    <w:tblPr>
      <w:tblStyleRowBandSize w:val="1"/>
      <w:tblStyleColBandSize w:val="1"/>
      <w:tblCellMar>
        <w:top w:w="0.0" w:type="dxa"/>
        <w:left w:w="115.0" w:type="dxa"/>
        <w:bottom w:w="0.0" w:type="dxa"/>
        <w:right w:w="115.0" w:type="dxa"/>
      </w:tblCellMar>
    </w:tblPr>
  </w:style>
  <w:style w:type="paragraph" w:styleId="Zhlav">
    <w:name w:val="header"/>
    <w:basedOn w:val="Normln"/>
    <w:link w:val="ZhlavChar"/>
    <w:uiPriority w:val="99"/>
    <w:unhideWhenUsed w:val="1"/>
    <w:rsid w:val="00DA58EA"/>
    <w:pPr>
      <w:tabs>
        <w:tab w:val="center" w:pos="4680"/>
        <w:tab w:val="right" w:pos="9360"/>
      </w:tabs>
    </w:pPr>
    <w:rPr>
      <w:rFonts w:cs="Times New Roman" w:asciiTheme="minorHAnsi" w:eastAsiaTheme="minorEastAsia" w:hAnsiTheme="minorHAnsi"/>
      <w:color w:val="auto"/>
      <w:sz w:val="22"/>
      <w:szCs w:val="22"/>
      <w:lang w:val="cs-CZ"/>
    </w:rPr>
  </w:style>
  <w:style w:type="character" w:styleId="ZhlavChar" w:customStyle="1">
    <w:name w:val="Záhlaví Char"/>
    <w:basedOn w:val="Standardnpsmoodstavce"/>
    <w:link w:val="Zhlav"/>
    <w:uiPriority w:val="99"/>
    <w:rsid w:val="00DA58EA"/>
    <w:rPr>
      <w:rFonts w:cs="Times New Roman" w:asciiTheme="minorHAnsi" w:eastAsiaTheme="minorEastAsia" w:hAnsiTheme="minorHAnsi"/>
      <w:color w:val="auto"/>
      <w:sz w:val="22"/>
      <w:szCs w:val="22"/>
      <w:lang w:val="cs-CZ"/>
    </w:rPr>
  </w:style>
  <w:style w:type="paragraph" w:styleId="Odstavecseseznamem">
    <w:name w:val="List Paragraph"/>
    <w:basedOn w:val="Normln"/>
    <w:uiPriority w:val="34"/>
    <w:qFormat w:val="1"/>
    <w:rsid w:val="007B538C"/>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68.0" w:type="dxa"/>
        <w:left w:w="68.0" w:type="dxa"/>
        <w:bottom w:w="68.0" w:type="dxa"/>
        <w:right w:w="6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oFYCEiw9+In1tA7N9gDKweOjfg==">CgMxLjAyDmgubzM1NTlmM3NodG02OAByITFuSTNhZ3VFelVtc2N5OFc1OXV4WFYtV3hDMzI1MThXZA==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2026-05-03T11:23:00Z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0x0101006B42856DFB0A8C48BAF373B18A3AF48A</vt:lpwstr>
  </property>
</Properties>
</file>