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90"/>
        <w:gridCol w:w="5238"/>
        <w:tblGridChange w:id="0">
          <w:tblGrid>
            <w:gridCol w:w="4390"/>
            <w:gridCol w:w="5238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televizních děl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Výroba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evidenční číslo a název výzvy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2026-B-2-3-</w:t>
            </w:r>
            <w:r w:rsidDel="00000000" w:rsidR="00000000" w:rsidRPr="00000000">
              <w:rPr>
                <w:rtl w:val="0"/>
              </w:rPr>
              <w:t xml:space="preserve">39 Výroba dokumentárního díla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pStyle w:val="Heading1"/>
        <w:spacing w:line="276" w:lineRule="auto"/>
        <w:rPr/>
      </w:pPr>
      <w:r w:rsidDel="00000000" w:rsidR="00000000" w:rsidRPr="00000000">
        <w:rPr>
          <w:rtl w:val="0"/>
        </w:rPr>
        <w:t xml:space="preserve">Výroba dokumentárního díla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2">
      <w:pPr>
        <w:spacing w:line="276" w:lineRule="auto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Synopse v délce (max. 1 800 znaků včetně mezer)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Treatment (v délce 12 600 až 21 600 znaků včetně mezer)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Režisérská explikace tvůrčího záměru (max. 1 800 znaků včetně mezer)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Explikace dramaturga týmu – analytický popis projektu (max. 1 800 znaků včetně mezer)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Moodboard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  <w:t xml:space="preserve">Nepovinné položky: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Scénář, je-li k dispozici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Odkaz na audiovizuální ukázku/moodreel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Případné audiovizuální materiály (audiovizuální ukázky apod.) je nutné zpřístupnit prostřednictvím služby vimeo či obdobné služby určené pro streamování videa.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Odkaz může být zajištěn heslem, které musí být uvedeno v popisu projektu.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Odkaz musí být přístupný až do rozhodnutí Rady.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3539"/>
        <w:gridCol w:w="6089"/>
        <w:tblGridChange w:id="0">
          <w:tblGrid>
            <w:gridCol w:w="3539"/>
            <w:gridCol w:w="608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odkaz pro audiovizuální ukázky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bookmarkStart w:colFirst="0" w:colLast="0" w:name="_heading=h.o3559f3shtm6" w:id="0"/>
      <w:bookmarkEnd w:id="0"/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bookmarkStart w:colFirst="0" w:colLast="0" w:name="_heading=h.i3b1aojzvyje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bCs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4K4gmc2I5/jQCJWvjmpA9HjPhg==">CgMxLjAyDmgubzM1NTlmM3NodG02Mg5oLmkzYjFhb2p6dnlqZTgAciExR0NOX2dwd292QXAyclFXNHgyUFVhc1dtQzhpd09xX3U=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