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16" w:rsidRDefault="00C41C08">
      <w:pPr>
        <w:pStyle w:val="Nadpis1"/>
        <w:jc w:val="right"/>
      </w:pPr>
      <w:r>
        <w:t>Státní fond audiovize</w:t>
      </w:r>
    </w:p>
    <w:p w:rsidR="00962F16" w:rsidRDefault="00C41C08">
      <w:pPr>
        <w:jc w:val="right"/>
      </w:pPr>
      <w:r>
        <w:t>Veletržní palác</w:t>
      </w:r>
    </w:p>
    <w:p w:rsidR="00962F16" w:rsidRDefault="00C41C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962F16" w:rsidRDefault="00C41C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962F16" w:rsidRDefault="00962F16">
      <w:pPr>
        <w:jc w:val="right"/>
      </w:pPr>
    </w:p>
    <w:p w:rsidR="00962F16" w:rsidRDefault="00962F16">
      <w:pPr>
        <w:jc w:val="right"/>
      </w:pPr>
    </w:p>
    <w:p w:rsidR="00962F16" w:rsidRDefault="00C41C08">
      <w:pPr>
        <w:pStyle w:val="Nadpis1"/>
      </w:pPr>
      <w:r>
        <w:t>Žádo</w:t>
      </w:r>
      <w:bookmarkStart w:id="0" w:name="_GoBack"/>
      <w:bookmarkEnd w:id="0"/>
      <w:r>
        <w:t>st o podporu audiovize</w:t>
      </w:r>
    </w:p>
    <w:p w:rsidR="00962F16" w:rsidRDefault="00C41C08">
      <w:pPr>
        <w:spacing w:line="276" w:lineRule="auto"/>
      </w:pPr>
      <w:bookmarkStart w:id="1" w:name="_heading=h.gjdgxs" w:colFirst="0" w:colLast="0"/>
      <w:bookmarkEnd w:id="1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962F16" w:rsidRDefault="00962F16"/>
    <w:p w:rsidR="00962F16" w:rsidRDefault="00C41C08">
      <w:pPr>
        <w:keepNext/>
        <w:rPr>
          <w:b/>
          <w:bCs/>
        </w:rPr>
      </w:pPr>
      <w:r>
        <w:rPr>
          <w:b/>
          <w:bCs/>
        </w:rPr>
        <w:t>I. Profil žadatele</w:t>
      </w:r>
    </w:p>
    <w:p w:rsidR="00962F16" w:rsidRDefault="00962F16">
      <w:pPr>
        <w:keepNext/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>I.A. Žadatel právnická osoba</w:t>
      </w:r>
    </w:p>
    <w:p w:rsidR="00962F16" w:rsidRDefault="00962F16">
      <w:pPr>
        <w:keepNext/>
      </w:pPr>
    </w:p>
    <w:tbl>
      <w:tblPr>
        <w:tblStyle w:val="a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962F16">
        <w:trPr>
          <w:trHeight w:val="340"/>
          <w:jc w:val="center"/>
        </w:trPr>
        <w:tc>
          <w:tcPr>
            <w:tcW w:w="3288" w:type="dxa"/>
            <w:gridSpan w:val="2"/>
          </w:tcPr>
          <w:p w:rsidR="00962F16" w:rsidRDefault="00C41C08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</w:tcPr>
          <w:p w:rsidR="00962F16" w:rsidRDefault="00C41C08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962F16" w:rsidRDefault="00C41C08">
            <w:r>
              <w:t> </w:t>
            </w:r>
          </w:p>
        </w:tc>
      </w:tr>
      <w:tr w:rsidR="00962F16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962F16" w:rsidRDefault="00C41C08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962F16" w:rsidRDefault="00C41C08">
            <w:r>
              <w:t>NE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962F16" w:rsidRDefault="00C41C08">
            <w:r>
              <w:t>ANO</w:t>
            </w:r>
          </w:p>
        </w:tc>
        <w:tc>
          <w:tcPr>
            <w:tcW w:w="4818" w:type="dxa"/>
            <w:gridSpan w:val="2"/>
          </w:tcPr>
          <w:p w:rsidR="00962F16" w:rsidRDefault="00C41C08">
            <w:r>
              <w:t>s úplným nárokem na odpočet DPH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962F16" w:rsidRDefault="00C41C08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962F16" w:rsidRDefault="00C41C08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962F16" w:rsidRDefault="00C41C08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962F16" w:rsidRDefault="00C41C08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962F16" w:rsidRDefault="00962F16"/>
        </w:tc>
      </w:tr>
      <w:tr w:rsidR="00962F16">
        <w:trPr>
          <w:trHeight w:val="284"/>
          <w:jc w:val="center"/>
        </w:trPr>
        <w:tc>
          <w:tcPr>
            <w:tcW w:w="9628" w:type="dxa"/>
            <w:gridSpan w:val="6"/>
          </w:tcPr>
          <w:p w:rsidR="00962F16" w:rsidRDefault="00C41C08">
            <w:pPr>
              <w:pStyle w:val="Nadpis2"/>
              <w:outlineLvl w:val="1"/>
            </w:pPr>
            <w:r>
              <w:t>adresa sídla</w:t>
            </w:r>
          </w:p>
        </w:tc>
      </w:tr>
      <w:tr w:rsidR="00962F16">
        <w:trPr>
          <w:trHeight w:val="340"/>
          <w:jc w:val="center"/>
        </w:trPr>
        <w:tc>
          <w:tcPr>
            <w:tcW w:w="2404" w:type="dxa"/>
          </w:tcPr>
          <w:p w:rsidR="00962F16" w:rsidRDefault="00C41C08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13"/>
          <w:jc w:val="center"/>
        </w:trPr>
        <w:tc>
          <w:tcPr>
            <w:tcW w:w="2404" w:type="dxa"/>
          </w:tcPr>
          <w:p w:rsidR="00962F16" w:rsidRDefault="00C41C08">
            <w:r>
              <w:t>obec, PSČ, stát</w:t>
            </w:r>
          </w:p>
        </w:tc>
        <w:tc>
          <w:tcPr>
            <w:tcW w:w="7224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4874" w:type="dxa"/>
            <w:gridSpan w:val="4"/>
          </w:tcPr>
          <w:p w:rsidR="00962F16" w:rsidRDefault="00C41C08"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2404" w:type="dxa"/>
            <w:vAlign w:val="center"/>
          </w:tcPr>
          <w:p w:rsidR="00962F16" w:rsidRDefault="00C41C08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962F16" w:rsidRDefault="00962F16"/>
        </w:tc>
      </w:tr>
      <w:tr w:rsidR="00962F16">
        <w:trPr>
          <w:trHeight w:val="415"/>
          <w:jc w:val="center"/>
        </w:trPr>
        <w:tc>
          <w:tcPr>
            <w:tcW w:w="9628" w:type="dxa"/>
            <w:gridSpan w:val="6"/>
          </w:tcPr>
          <w:p w:rsidR="00962F16" w:rsidRDefault="00C41C08">
            <w:pPr>
              <w:pStyle w:val="Nadpis2"/>
              <w:outlineLvl w:val="1"/>
            </w:pPr>
            <w:r>
              <w:t>adresa pro doručování, na kterou žadatel požaduje doručovat (pokud se liší od adresy sídla a pokud nemá zřízenou datovou schránku)</w:t>
            </w:r>
          </w:p>
        </w:tc>
      </w:tr>
      <w:tr w:rsidR="00962F16">
        <w:trPr>
          <w:trHeight w:val="340"/>
          <w:jc w:val="center"/>
        </w:trPr>
        <w:tc>
          <w:tcPr>
            <w:tcW w:w="2404" w:type="dxa"/>
          </w:tcPr>
          <w:p w:rsidR="00962F16" w:rsidRDefault="00C41C08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2404" w:type="dxa"/>
          </w:tcPr>
          <w:p w:rsidR="00962F16" w:rsidRDefault="00C41C08">
            <w:r>
              <w:lastRenderedPageBreak/>
              <w:t>obec, PSČ, stát</w:t>
            </w:r>
          </w:p>
        </w:tc>
        <w:tc>
          <w:tcPr>
            <w:tcW w:w="7224" w:type="dxa"/>
            <w:gridSpan w:val="5"/>
          </w:tcPr>
          <w:p w:rsidR="00962F16" w:rsidRDefault="00C41C08">
            <w:r>
              <w:t> </w:t>
            </w:r>
          </w:p>
        </w:tc>
      </w:tr>
    </w:tbl>
    <w:p w:rsidR="00962F16" w:rsidRDefault="00962F16"/>
    <w:p w:rsidR="00962F16" w:rsidRDefault="00C41C08">
      <w:pPr>
        <w:keepNext/>
        <w:rPr>
          <w:b/>
          <w:bCs/>
        </w:rPr>
      </w:pPr>
      <w:r>
        <w:rPr>
          <w:b/>
          <w:bCs/>
        </w:rPr>
        <w:t>I.B. Žadatel fyzická osoba</w:t>
      </w:r>
    </w:p>
    <w:p w:rsidR="00962F16" w:rsidRDefault="00962F16">
      <w:pPr>
        <w:keepNext/>
      </w:pPr>
    </w:p>
    <w:tbl>
      <w:tblPr>
        <w:tblStyle w:val="afffff4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710"/>
        <w:gridCol w:w="585"/>
        <w:gridCol w:w="105"/>
        <w:gridCol w:w="4620"/>
        <w:gridCol w:w="555"/>
      </w:tblGrid>
      <w:tr w:rsidR="00962F16">
        <w:trPr>
          <w:trHeight w:val="340"/>
          <w:jc w:val="center"/>
        </w:trPr>
        <w:tc>
          <w:tcPr>
            <w:tcW w:w="3810" w:type="dxa"/>
            <w:gridSpan w:val="2"/>
          </w:tcPr>
          <w:p w:rsidR="00962F16" w:rsidRDefault="00C41C08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962F16" w:rsidRDefault="00C41C08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962F16" w:rsidRDefault="00C41C08">
            <w:r>
              <w:t>ANO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962F16" w:rsidRDefault="00C41C08">
            <w:r>
              <w:t>NE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00" w:type="dxa"/>
            <w:vMerge w:val="restart"/>
          </w:tcPr>
          <w:p w:rsidR="00962F16" w:rsidRDefault="00C41C08">
            <w:r>
              <w:t>v případě ANO uveďte</w:t>
            </w:r>
          </w:p>
        </w:tc>
        <w:tc>
          <w:tcPr>
            <w:tcW w:w="1710" w:type="dxa"/>
          </w:tcPr>
          <w:p w:rsidR="00962F16" w:rsidRDefault="00C41C08">
            <w:r>
              <w:t>IČO (pokud máte)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00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962F16" w:rsidRDefault="00C4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00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962F16" w:rsidRDefault="00C4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00" w:type="dxa"/>
            <w:vMerge w:val="restart"/>
          </w:tcPr>
          <w:p w:rsidR="00962F16" w:rsidRDefault="00C41C08">
            <w:r>
              <w:t>v případě NE uveďte</w:t>
            </w:r>
          </w:p>
        </w:tc>
        <w:tc>
          <w:tcPr>
            <w:tcW w:w="1710" w:type="dxa"/>
          </w:tcPr>
          <w:p w:rsidR="00962F16" w:rsidRDefault="00C41C08">
            <w:r>
              <w:t>datum narození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00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962F16" w:rsidRDefault="00C4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962F16" w:rsidRDefault="00C41C08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962F16" w:rsidRDefault="00C41C08">
            <w:r>
              <w:t>NE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962F16" w:rsidRDefault="00C41C08">
            <w:r>
              <w:t>ANO</w:t>
            </w:r>
          </w:p>
        </w:tc>
        <w:tc>
          <w:tcPr>
            <w:tcW w:w="4725" w:type="dxa"/>
            <w:gridSpan w:val="2"/>
          </w:tcPr>
          <w:p w:rsidR="00962F16" w:rsidRDefault="00C41C08">
            <w:r>
              <w:t>s úplným nárokem na odpočet DPH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962F16" w:rsidRDefault="00C41C08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962F16" w:rsidRDefault="00C41C08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962F16" w:rsidRDefault="00C41C08">
            <w:r>
              <w:t xml:space="preserve">s částečným nárokem na odpočet DPH a uplatňuje kombinaci uplatnění poměrné části odpočtu daně na vstupu a nároku na odpočet krácený koeficientem 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962F16" w:rsidRDefault="00C41C08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810" w:type="dxa"/>
            <w:gridSpan w:val="2"/>
          </w:tcPr>
          <w:p w:rsidR="00962F16" w:rsidRDefault="00C41C08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962F16" w:rsidRDefault="00962F16"/>
        </w:tc>
      </w:tr>
      <w:tr w:rsidR="00962F16">
        <w:trPr>
          <w:trHeight w:val="309"/>
          <w:jc w:val="center"/>
        </w:trPr>
        <w:tc>
          <w:tcPr>
            <w:tcW w:w="9675" w:type="dxa"/>
            <w:gridSpan w:val="6"/>
          </w:tcPr>
          <w:p w:rsidR="00962F16" w:rsidRDefault="00C41C08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t>obec, PSČ, stát</w:t>
            </w:r>
          </w:p>
        </w:tc>
        <w:tc>
          <w:tcPr>
            <w:tcW w:w="7575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4500" w:type="dxa"/>
            <w:gridSpan w:val="4"/>
          </w:tcPr>
          <w:p w:rsidR="00962F16" w:rsidRDefault="00C41C08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9675" w:type="dxa"/>
            <w:gridSpan w:val="6"/>
          </w:tcPr>
          <w:p w:rsidR="00962F16" w:rsidRDefault="00C41C08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lastRenderedPageBreak/>
              <w:t>obec, PSČ, stát</w:t>
            </w:r>
          </w:p>
        </w:tc>
        <w:tc>
          <w:tcPr>
            <w:tcW w:w="7575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4500" w:type="dxa"/>
            <w:gridSpan w:val="4"/>
          </w:tcPr>
          <w:p w:rsidR="00962F16" w:rsidRDefault="00C41C08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962F16" w:rsidRDefault="00962F16"/>
        </w:tc>
      </w:tr>
      <w:tr w:rsidR="00962F16">
        <w:trPr>
          <w:trHeight w:val="551"/>
          <w:jc w:val="center"/>
        </w:trPr>
        <w:tc>
          <w:tcPr>
            <w:tcW w:w="9675" w:type="dxa"/>
            <w:gridSpan w:val="6"/>
          </w:tcPr>
          <w:p w:rsidR="00962F16" w:rsidRDefault="00C41C08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962F16" w:rsidRDefault="00C41C08">
            <w:r>
              <w:t> </w:t>
            </w:r>
          </w:p>
        </w:tc>
      </w:tr>
      <w:tr w:rsidR="00962F16">
        <w:trPr>
          <w:trHeight w:val="340"/>
          <w:jc w:val="center"/>
        </w:trPr>
        <w:tc>
          <w:tcPr>
            <w:tcW w:w="2100" w:type="dxa"/>
          </w:tcPr>
          <w:p w:rsidR="00962F16" w:rsidRDefault="00C41C08">
            <w:r>
              <w:t>obec, PSČ, stát</w:t>
            </w:r>
          </w:p>
        </w:tc>
        <w:tc>
          <w:tcPr>
            <w:tcW w:w="7575" w:type="dxa"/>
            <w:gridSpan w:val="5"/>
          </w:tcPr>
          <w:p w:rsidR="00962F16" w:rsidRDefault="00962F16"/>
        </w:tc>
      </w:tr>
    </w:tbl>
    <w:p w:rsidR="00962F16" w:rsidRDefault="00962F16"/>
    <w:p w:rsidR="00962F16" w:rsidRDefault="00C41C08">
      <w:pPr>
        <w:keepNext/>
        <w:rPr>
          <w:b/>
          <w:bCs/>
        </w:rPr>
      </w:pPr>
      <w:r>
        <w:rPr>
          <w:b/>
          <w:bCs/>
        </w:rPr>
        <w:t>I.C. Informace o podniku a jeho velikosti</w:t>
      </w:r>
    </w:p>
    <w:p w:rsidR="00962F16" w:rsidRDefault="00962F16">
      <w:pPr>
        <w:keepNext/>
        <w:rPr>
          <w:b/>
          <w:bCs/>
        </w:rPr>
      </w:pPr>
    </w:p>
    <w:tbl>
      <w:tblPr>
        <w:tblStyle w:val="afffff5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962F16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</w:p>
          <w:p w:rsidR="00962F16" w:rsidRDefault="00962F16"/>
          <w:p w:rsidR="00962F16" w:rsidRDefault="00C41C08">
            <w:r>
              <w:t xml:space="preserve">např. i OSVČ, zapsaný spolek atd. </w:t>
            </w:r>
          </w:p>
          <w:p w:rsidR="00962F16" w:rsidRDefault="00C41C08">
            <w:r>
              <w:t xml:space="preserve">je podnikem (viz níže) </w:t>
            </w:r>
          </w:p>
          <w:p w:rsidR="00962F16" w:rsidRDefault="00C41C08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  <w:tr w:rsidR="00962F16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ANO</w:t>
            </w:r>
          </w:p>
          <w:p w:rsidR="00962F16" w:rsidRDefault="00962F16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</w:tbl>
    <w:p w:rsidR="00962F16" w:rsidRDefault="00962F16"/>
    <w:p w:rsidR="00962F16" w:rsidRDefault="00C41C08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962F16" w:rsidRDefault="00962F16">
      <w:pPr>
        <w:rPr>
          <w:b/>
          <w:bCs/>
        </w:rPr>
      </w:pPr>
    </w:p>
    <w:tbl>
      <w:tblPr>
        <w:tblStyle w:val="affff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962F16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 xml:space="preserve">žadatel je podnikem:  </w:t>
            </w:r>
          </w:p>
          <w:p w:rsidR="00962F16" w:rsidRDefault="00C41C08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  <w:tr w:rsidR="00962F16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velký podnik</w:t>
            </w:r>
          </w:p>
          <w:p w:rsidR="00962F16" w:rsidRDefault="00962F16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  <w:tr w:rsidR="00962F16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  <w:tr w:rsidR="00962F16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</w:tbl>
    <w:p w:rsidR="00962F16" w:rsidRDefault="00962F16">
      <w:pPr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>I.D. Informace o daňovém rezidentství</w:t>
      </w:r>
    </w:p>
    <w:p w:rsidR="00962F16" w:rsidRDefault="00962F16">
      <w:pPr>
        <w:keepNext/>
      </w:pPr>
    </w:p>
    <w:tbl>
      <w:tblPr>
        <w:tblStyle w:val="afffff7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962F16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  <w:tr w:rsidR="00962F16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C41C08">
            <w:r>
              <w:t>ANO</w:t>
            </w:r>
          </w:p>
          <w:p w:rsidR="00962F16" w:rsidRDefault="00962F16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62F16" w:rsidRDefault="00962F16">
            <w:pPr>
              <w:jc w:val="center"/>
            </w:pPr>
          </w:p>
        </w:tc>
      </w:tr>
    </w:tbl>
    <w:p w:rsidR="00962F16" w:rsidRDefault="00962F16"/>
    <w:p w:rsidR="00962F16" w:rsidRDefault="00C41C08">
      <w:pPr>
        <w:keepNext/>
        <w:keepLines/>
        <w:rPr>
          <w:b/>
          <w:bCs/>
        </w:rPr>
      </w:pPr>
      <w:r>
        <w:rPr>
          <w:b/>
          <w:bCs/>
        </w:rPr>
        <w:t>II. Informace o projektu</w:t>
      </w:r>
    </w:p>
    <w:p w:rsidR="00962F16" w:rsidRDefault="00962F16">
      <w:pPr>
        <w:keepNext/>
        <w:keepLines/>
        <w:rPr>
          <w:b/>
          <w:bCs/>
        </w:rPr>
      </w:pPr>
    </w:p>
    <w:p w:rsidR="00962F16" w:rsidRDefault="00C41C08">
      <w:pPr>
        <w:keepNext/>
        <w:keepLines/>
        <w:rPr>
          <w:b/>
          <w:bCs/>
        </w:rPr>
      </w:pPr>
      <w:r>
        <w:rPr>
          <w:b/>
          <w:bCs/>
        </w:rPr>
        <w:t>II.A. Kontaktní osoba projektu</w:t>
      </w:r>
    </w:p>
    <w:p w:rsidR="00962F16" w:rsidRDefault="00962F16">
      <w:pPr>
        <w:pStyle w:val="Nadpis2"/>
        <w:rPr>
          <w:b w:val="0"/>
          <w:bCs w:val="0"/>
        </w:rPr>
      </w:pPr>
    </w:p>
    <w:tbl>
      <w:tblPr>
        <w:tblStyle w:val="afffff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7905"/>
      </w:tblGrid>
      <w:tr w:rsidR="00962F16">
        <w:trPr>
          <w:trHeight w:val="624"/>
        </w:trPr>
        <w:tc>
          <w:tcPr>
            <w:tcW w:w="9628" w:type="dxa"/>
            <w:gridSpan w:val="2"/>
            <w:vAlign w:val="center"/>
          </w:tcPr>
          <w:p w:rsidR="00962F16" w:rsidRDefault="00C41C0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kontaktní osoba žadatele </w:t>
            </w:r>
          </w:p>
          <w:p w:rsidR="00962F16" w:rsidRDefault="00C41C0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(osoba odpovědná za podání žádosti a realizaci projektu)</w:t>
            </w:r>
          </w:p>
        </w:tc>
      </w:tr>
      <w:tr w:rsidR="00962F16">
        <w:trPr>
          <w:trHeight w:val="510"/>
        </w:trPr>
        <w:tc>
          <w:tcPr>
            <w:tcW w:w="1723" w:type="dxa"/>
            <w:vAlign w:val="center"/>
          </w:tcPr>
          <w:p w:rsidR="00962F16" w:rsidRDefault="00C41C08">
            <w:r>
              <w:t>jméno a příjmení</w:t>
            </w:r>
          </w:p>
        </w:tc>
        <w:tc>
          <w:tcPr>
            <w:tcW w:w="7905" w:type="dxa"/>
            <w:vAlign w:val="center"/>
          </w:tcPr>
          <w:p w:rsidR="00962F16" w:rsidRDefault="00C41C08">
            <w:r>
              <w:t> </w:t>
            </w:r>
          </w:p>
        </w:tc>
      </w:tr>
      <w:tr w:rsidR="00962F16">
        <w:trPr>
          <w:trHeight w:val="510"/>
        </w:trPr>
        <w:tc>
          <w:tcPr>
            <w:tcW w:w="1723" w:type="dxa"/>
            <w:vAlign w:val="center"/>
          </w:tcPr>
          <w:p w:rsidR="00962F16" w:rsidRDefault="00C41C08">
            <w:r>
              <w:lastRenderedPageBreak/>
              <w:t>telefon</w:t>
            </w:r>
          </w:p>
        </w:tc>
        <w:tc>
          <w:tcPr>
            <w:tcW w:w="7905" w:type="dxa"/>
            <w:vAlign w:val="center"/>
          </w:tcPr>
          <w:p w:rsidR="00962F16" w:rsidRDefault="00C41C08">
            <w:r>
              <w:t> </w:t>
            </w:r>
          </w:p>
        </w:tc>
      </w:tr>
      <w:tr w:rsidR="00962F16">
        <w:trPr>
          <w:trHeight w:val="510"/>
        </w:trPr>
        <w:tc>
          <w:tcPr>
            <w:tcW w:w="1723" w:type="dxa"/>
            <w:vAlign w:val="center"/>
          </w:tcPr>
          <w:p w:rsidR="00962F16" w:rsidRDefault="00C41C08">
            <w:r>
              <w:t>e-mail</w:t>
            </w:r>
          </w:p>
        </w:tc>
        <w:tc>
          <w:tcPr>
            <w:tcW w:w="7905" w:type="dxa"/>
            <w:vAlign w:val="center"/>
          </w:tcPr>
          <w:p w:rsidR="00962F16" w:rsidRDefault="00C41C08">
            <w:r>
              <w:t> </w:t>
            </w:r>
          </w:p>
        </w:tc>
      </w:tr>
    </w:tbl>
    <w:p w:rsidR="00962F16" w:rsidRDefault="00962F16">
      <w:pPr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>II.B. Obecné informace o projektu</w:t>
      </w:r>
    </w:p>
    <w:p w:rsidR="00962F16" w:rsidRDefault="00962F16">
      <w:pPr>
        <w:keepNext/>
      </w:pPr>
    </w:p>
    <w:tbl>
      <w:tblPr>
        <w:tblStyle w:val="afffff9"/>
        <w:tblW w:w="9701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4570"/>
      </w:tblGrid>
      <w:tr w:rsidR="00962F16">
        <w:trPr>
          <w:trHeight w:val="340"/>
          <w:jc w:val="center"/>
        </w:trPr>
        <w:tc>
          <w:tcPr>
            <w:tcW w:w="5131" w:type="dxa"/>
            <w:vAlign w:val="center"/>
          </w:tcPr>
          <w:p w:rsidR="00962F16" w:rsidRDefault="00C41C08">
            <w:pPr>
              <w:pStyle w:val="Nadpis2"/>
              <w:outlineLvl w:val="1"/>
            </w:pPr>
            <w:r>
              <w:t>název projektu</w:t>
            </w:r>
          </w:p>
        </w:tc>
        <w:tc>
          <w:tcPr>
            <w:tcW w:w="4570" w:type="dxa"/>
            <w:vAlign w:val="center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5131" w:type="dxa"/>
            <w:vAlign w:val="center"/>
          </w:tcPr>
          <w:p w:rsidR="00962F16" w:rsidRDefault="00C41C08">
            <w:pPr>
              <w:pStyle w:val="Nadpis2"/>
              <w:outlineLvl w:val="1"/>
            </w:pPr>
            <w:r>
              <w:t>dotační kategorie</w:t>
            </w:r>
          </w:p>
        </w:tc>
        <w:tc>
          <w:tcPr>
            <w:tcW w:w="4570" w:type="dxa"/>
            <w:vAlign w:val="center"/>
          </w:tcPr>
          <w:p w:rsidR="00962F16" w:rsidRDefault="00C41C08">
            <w:r>
              <w:t>Podpora infrastruktury audiovize</w:t>
            </w:r>
          </w:p>
        </w:tc>
      </w:tr>
      <w:tr w:rsidR="00962F16">
        <w:trPr>
          <w:trHeight w:val="340"/>
          <w:jc w:val="center"/>
        </w:trPr>
        <w:tc>
          <w:tcPr>
            <w:tcW w:w="5131" w:type="dxa"/>
            <w:vAlign w:val="center"/>
          </w:tcPr>
          <w:p w:rsidR="00962F16" w:rsidRDefault="00C41C08">
            <w:pPr>
              <w:pStyle w:val="Nadpis2"/>
              <w:outlineLvl w:val="1"/>
            </w:pPr>
            <w:r>
              <w:t>dotační okruh</w:t>
            </w:r>
          </w:p>
        </w:tc>
        <w:tc>
          <w:tcPr>
            <w:tcW w:w="4570" w:type="dxa"/>
            <w:vAlign w:val="center"/>
          </w:tcPr>
          <w:p w:rsidR="00962F16" w:rsidRDefault="00C41C08">
            <w:r>
              <w:t>Distribuce audiovizuálního díla nebo skupiny audiovizuálních děl</w:t>
            </w:r>
          </w:p>
        </w:tc>
      </w:tr>
      <w:tr w:rsidR="00962F16">
        <w:trPr>
          <w:trHeight w:val="340"/>
          <w:jc w:val="center"/>
        </w:trPr>
        <w:tc>
          <w:tcPr>
            <w:tcW w:w="5131" w:type="dxa"/>
            <w:vAlign w:val="center"/>
          </w:tcPr>
          <w:p w:rsidR="00962F16" w:rsidRDefault="00C41C08">
            <w:pPr>
              <w:pStyle w:val="Nadpis2"/>
              <w:outlineLvl w:val="1"/>
            </w:pPr>
            <w:r>
              <w:t>číslo a název výzvy</w:t>
            </w:r>
          </w:p>
        </w:tc>
        <w:tc>
          <w:tcPr>
            <w:tcW w:w="4570" w:type="dxa"/>
            <w:vAlign w:val="center"/>
          </w:tcPr>
          <w:p w:rsidR="00962F16" w:rsidRDefault="00C41C08">
            <w:proofErr w:type="gramStart"/>
            <w:r>
              <w:t>2026-D</w:t>
            </w:r>
            <w:proofErr w:type="gramEnd"/>
            <w:r>
              <w:t>-3-4-27 Distribuce filmu – kreditová podpora</w:t>
            </w:r>
          </w:p>
        </w:tc>
      </w:tr>
    </w:tbl>
    <w:p w:rsidR="00962F16" w:rsidRDefault="00962F16"/>
    <w:p w:rsidR="00962F16" w:rsidRDefault="00962F16"/>
    <w:tbl>
      <w:tblPr>
        <w:tblStyle w:val="afffffa"/>
        <w:tblW w:w="9632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953"/>
        <w:gridCol w:w="4679"/>
      </w:tblGrid>
      <w:tr w:rsidR="00962F16">
        <w:trPr>
          <w:trHeight w:val="340"/>
          <w:jc w:val="center"/>
        </w:trPr>
        <w:tc>
          <w:tcPr>
            <w:tcW w:w="4953" w:type="dxa"/>
          </w:tcPr>
          <w:p w:rsidR="00962F16" w:rsidRDefault="00C41C08">
            <w:pPr>
              <w:pStyle w:val="Nadpis2"/>
              <w:outlineLvl w:val="1"/>
            </w:pPr>
            <w:r>
              <w:t>celkový plánovaný rozpočet nákladů na realizaci projektu</w:t>
            </w:r>
          </w:p>
        </w:tc>
        <w:tc>
          <w:tcPr>
            <w:tcW w:w="467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4953" w:type="dxa"/>
          </w:tcPr>
          <w:p w:rsidR="00962F16" w:rsidRDefault="00C41C08">
            <w:pPr>
              <w:pStyle w:val="Nadpis2"/>
              <w:outlineLvl w:val="1"/>
            </w:pPr>
            <w:r>
              <w:t>výše požadované podpory audiovize v Kč</w:t>
            </w:r>
          </w:p>
        </w:tc>
        <w:tc>
          <w:tcPr>
            <w:tcW w:w="467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4953" w:type="dxa"/>
          </w:tcPr>
          <w:p w:rsidR="00962F16" w:rsidRDefault="00C41C08">
            <w:pPr>
              <w:pStyle w:val="Nadpis2"/>
              <w:outlineLvl w:val="1"/>
            </w:pPr>
            <w:r>
              <w:t>počet kreditů získaných za předchozí kalendářní rok</w:t>
            </w:r>
          </w:p>
        </w:tc>
        <w:tc>
          <w:tcPr>
            <w:tcW w:w="4679" w:type="dxa"/>
          </w:tcPr>
          <w:p w:rsidR="00962F16" w:rsidRDefault="00962F16"/>
        </w:tc>
      </w:tr>
    </w:tbl>
    <w:p w:rsidR="00962F16" w:rsidRDefault="00C41C08">
      <w:r>
        <w:t xml:space="preserve">     </w:t>
      </w:r>
    </w:p>
    <w:p w:rsidR="00962F16" w:rsidRDefault="00962F16"/>
    <w:p w:rsidR="00962F16" w:rsidRDefault="00C41C08">
      <w:pPr>
        <w:keepNext/>
        <w:rPr>
          <w:b/>
          <w:bCs/>
        </w:rPr>
      </w:pPr>
      <w:r>
        <w:rPr>
          <w:b/>
          <w:bCs/>
        </w:rPr>
        <w:t>II.C. Definice projektu</w:t>
      </w:r>
    </w:p>
    <w:p w:rsidR="00962F16" w:rsidRDefault="00962F16">
      <w:pPr>
        <w:keepNext/>
      </w:pPr>
    </w:p>
    <w:tbl>
      <w:tblPr>
        <w:tblStyle w:val="afffffb"/>
        <w:tblW w:w="9592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4274"/>
      </w:tblGrid>
      <w:tr w:rsidR="00962F16">
        <w:trPr>
          <w:trHeight w:val="315"/>
        </w:trPr>
        <w:tc>
          <w:tcPr>
            <w:tcW w:w="9592" w:type="dxa"/>
            <w:gridSpan w:val="2"/>
          </w:tcPr>
          <w:p w:rsidR="00962F16" w:rsidRDefault="00C41C08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962F16">
        <w:trPr>
          <w:trHeight w:val="315"/>
        </w:trPr>
        <w:tc>
          <w:tcPr>
            <w:tcW w:w="5318" w:type="dxa"/>
          </w:tcPr>
          <w:p w:rsidR="00962F16" w:rsidRDefault="00C41C08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název distribuční společnosti</w:t>
            </w:r>
          </w:p>
        </w:tc>
        <w:tc>
          <w:tcPr>
            <w:tcW w:w="4274" w:type="dxa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962F16" w:rsidRDefault="00962F16">
      <w:pPr>
        <w:rPr>
          <w:b/>
          <w:bCs/>
        </w:rPr>
      </w:pPr>
    </w:p>
    <w:p w:rsidR="00962F16" w:rsidRDefault="00962F16">
      <w:pPr>
        <w:keepNext/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 xml:space="preserve">II.D. </w:t>
      </w:r>
      <w:r>
        <w:rPr>
          <w:b/>
          <w:bCs/>
        </w:rPr>
        <w:t>Plán premiér</w:t>
      </w:r>
    </w:p>
    <w:p w:rsidR="00962F16" w:rsidRDefault="00962F16">
      <w:pPr>
        <w:keepNext/>
      </w:pPr>
    </w:p>
    <w:tbl>
      <w:tblPr>
        <w:tblStyle w:val="afffffc"/>
        <w:tblW w:w="963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1830"/>
        <w:gridCol w:w="1830"/>
        <w:gridCol w:w="1830"/>
        <w:gridCol w:w="1830"/>
      </w:tblGrid>
      <w:tr w:rsidR="00962F16">
        <w:trPr>
          <w:trHeight w:val="284"/>
        </w:trPr>
        <w:tc>
          <w:tcPr>
            <w:tcW w:w="2316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2et92p0" w:colFirst="0" w:colLast="0"/>
            <w:bookmarkEnd w:id="2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název titulu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vertAlign w:val="superscript"/>
              </w:rPr>
              <w:footnoteReference w:id="7"/>
            </w: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Režisér</w:t>
            </w: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Výrobce</w:t>
            </w: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Země původu</w:t>
            </w: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Žánr</w:t>
            </w:r>
          </w:p>
        </w:tc>
      </w:tr>
      <w:tr w:rsidR="00962F16">
        <w:trPr>
          <w:trHeight w:val="284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84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69"/>
        </w:trPr>
        <w:tc>
          <w:tcPr>
            <w:tcW w:w="2316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  <w:tc>
          <w:tcPr>
            <w:tcW w:w="1830" w:type="dxa"/>
            <w:vAlign w:val="center"/>
          </w:tcPr>
          <w:p w:rsidR="00962F16" w:rsidRDefault="00962F16"/>
        </w:tc>
      </w:tr>
      <w:tr w:rsidR="00962F16">
        <w:trPr>
          <w:trHeight w:val="284"/>
        </w:trPr>
        <w:tc>
          <w:tcPr>
            <w:tcW w:w="2316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30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962F16" w:rsidRDefault="00962F16">
      <w:pPr>
        <w:rPr>
          <w:b/>
          <w:bCs/>
        </w:rPr>
      </w:pPr>
    </w:p>
    <w:p w:rsidR="00962F16" w:rsidRDefault="00962F16">
      <w:pPr>
        <w:rPr>
          <w:b/>
          <w:bCs/>
        </w:rPr>
      </w:pPr>
    </w:p>
    <w:tbl>
      <w:tblPr>
        <w:tblStyle w:val="afffffd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2948"/>
        <w:gridCol w:w="2948"/>
      </w:tblGrid>
      <w:tr w:rsidR="00962F16">
        <w:trPr>
          <w:trHeight w:val="284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bookmarkStart w:id="4" w:name="_heading=h.97fv245mfilv" w:colFirst="0" w:colLast="0"/>
            <w:bookmarkEnd w:id="4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předpokládané výsledky distribuce v</w:t>
            </w:r>
            <w:r w:rsidR="00D408F3">
              <w:rPr>
                <w:rFonts w:ascii="Arial" w:eastAsia="Arial" w:hAnsi="Arial" w:cs="Arial"/>
                <w:b/>
                <w:bCs/>
                <w:sz w:val="19"/>
                <w:szCs w:val="19"/>
              </w:rPr>
              <w:t> 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roce 2026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vertAlign w:val="superscript"/>
              </w:rPr>
              <w:footnoteReference w:id="8"/>
            </w:r>
          </w:p>
        </w:tc>
        <w:tc>
          <w:tcPr>
            <w:tcW w:w="2948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způsob výpočtu odhadu</w:t>
            </w:r>
          </w:p>
        </w:tc>
        <w:tc>
          <w:tcPr>
            <w:tcW w:w="2948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odhadovaný výnos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9"/>
            </w:r>
          </w:p>
        </w:tc>
      </w:tr>
      <w:tr w:rsidR="00962F16">
        <w:trPr>
          <w:trHeight w:val="284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výnosy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kinodistribuce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ČR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0"/>
            </w:r>
          </w:p>
        </w:tc>
        <w:tc>
          <w:tcPr>
            <w:tcW w:w="2948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84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výnosy z VOD distribuce v ČR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1"/>
            </w:r>
          </w:p>
        </w:tc>
        <w:tc>
          <w:tcPr>
            <w:tcW w:w="2948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bookmarkStart w:id="5" w:name="_heading=h.qjzcuxxvjow1" w:colFirst="0" w:colLast="0"/>
            <w:bookmarkEnd w:id="5"/>
            <w:r>
              <w:rPr>
                <w:rFonts w:ascii="Arial" w:eastAsia="Arial" w:hAnsi="Arial" w:cs="Arial"/>
                <w:sz w:val="19"/>
                <w:szCs w:val="19"/>
              </w:rPr>
              <w:t>výnosy z 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home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video distribuce v ČR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2"/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výnosy z prodeje TV licencí v ČR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3"/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výnosy z dalšího prodeje práv v ČR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4"/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69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výnosy z prodeje práv v zahraničí (v případě českých kinematografických děl)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5"/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62F16">
        <w:trPr>
          <w:trHeight w:val="284"/>
        </w:trPr>
        <w:tc>
          <w:tcPr>
            <w:tcW w:w="3732" w:type="dxa"/>
            <w:vAlign w:val="center"/>
          </w:tcPr>
          <w:p w:rsidR="00962F16" w:rsidRDefault="00C41C08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948" w:type="dxa"/>
            <w:vAlign w:val="center"/>
          </w:tcPr>
          <w:p w:rsidR="00962F16" w:rsidRDefault="00962F16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962F16" w:rsidRDefault="00962F16">
      <w:pPr>
        <w:rPr>
          <w:b/>
          <w:bCs/>
        </w:rPr>
      </w:pPr>
    </w:p>
    <w:p w:rsidR="00962F16" w:rsidRDefault="00962F16">
      <w:pPr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>III. Harmonogram projektu</w:t>
      </w:r>
    </w:p>
    <w:p w:rsidR="00962F16" w:rsidRDefault="00962F16">
      <w:pPr>
        <w:keepNext/>
        <w:rPr>
          <w:b/>
          <w:bCs/>
        </w:rPr>
      </w:pPr>
    </w:p>
    <w:tbl>
      <w:tblPr>
        <w:tblStyle w:val="a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962F16">
        <w:trPr>
          <w:trHeight w:val="563"/>
          <w:jc w:val="center"/>
        </w:trPr>
        <w:tc>
          <w:tcPr>
            <w:tcW w:w="9628" w:type="dxa"/>
            <w:gridSpan w:val="2"/>
          </w:tcPr>
          <w:p w:rsidR="00962F16" w:rsidRDefault="00C41C08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harmonogram projektu</w:t>
            </w:r>
          </w:p>
          <w:p w:rsidR="00962F16" w:rsidRDefault="00C41C08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color w:val="221E1F"/>
                <w:sz w:val="18"/>
                <w:szCs w:val="18"/>
              </w:rPr>
              <w:t>(Práce na projektu nemohou být zahájeny dříve než dnem podání žádosti, a to z důvodu dodržení podmínky motivačního účinku ve smyslu čl. 6 GBER. Před podáním žádosti je možné provádět pouze přípravné práce.)</w:t>
            </w:r>
          </w:p>
        </w:tc>
      </w:tr>
      <w:tr w:rsidR="00962F16">
        <w:trPr>
          <w:trHeight w:val="340"/>
          <w:jc w:val="center"/>
        </w:trPr>
        <w:tc>
          <w:tcPr>
            <w:tcW w:w="3279" w:type="dxa"/>
          </w:tcPr>
          <w:p w:rsidR="00962F16" w:rsidRDefault="00C41C08">
            <w:r>
              <w:t>přípravné práce (od–do)</w:t>
            </w:r>
          </w:p>
          <w:p w:rsidR="00962F16" w:rsidRDefault="00C41C08">
            <w:r>
              <w:t>(příprava a podání žádosti o podporu audiovize)</w:t>
            </w:r>
          </w:p>
        </w:tc>
        <w:tc>
          <w:tcPr>
            <w:tcW w:w="634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79" w:type="dxa"/>
          </w:tcPr>
          <w:p w:rsidR="00962F16" w:rsidRDefault="00C41C08">
            <w:r>
              <w:lastRenderedPageBreak/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  <w:bCs/>
              </w:rPr>
              <w:t>je možné nejdříve dnem podání žádosti</w:t>
            </w:r>
          </w:p>
        </w:tc>
        <w:tc>
          <w:tcPr>
            <w:tcW w:w="6349" w:type="dxa"/>
          </w:tcPr>
          <w:p w:rsidR="00962F16" w:rsidRDefault="00962F16"/>
        </w:tc>
      </w:tr>
      <w:tr w:rsidR="00962F16">
        <w:trPr>
          <w:trHeight w:val="340"/>
          <w:jc w:val="center"/>
        </w:trPr>
        <w:tc>
          <w:tcPr>
            <w:tcW w:w="3279" w:type="dxa"/>
          </w:tcPr>
          <w:p w:rsidR="00962F16" w:rsidRDefault="00C41C08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  <w:p w:rsidR="00962F16" w:rsidRDefault="00C41C08">
            <w:r>
              <w:t>(max. do nejzazšího data dokončení uvedeného ve výzvě)</w:t>
            </w:r>
          </w:p>
          <w:p w:rsidR="00962F16" w:rsidRDefault="00962F16"/>
        </w:tc>
        <w:tc>
          <w:tcPr>
            <w:tcW w:w="6349" w:type="dxa"/>
          </w:tcPr>
          <w:p w:rsidR="00962F16" w:rsidRDefault="00962F16"/>
        </w:tc>
      </w:tr>
    </w:tbl>
    <w:p w:rsidR="00962F16" w:rsidRDefault="00962F16">
      <w:pPr>
        <w:rPr>
          <w:b/>
          <w:bCs/>
        </w:rPr>
      </w:pPr>
    </w:p>
    <w:p w:rsidR="00962F16" w:rsidRDefault="00C41C08">
      <w:pPr>
        <w:keepNext/>
        <w:rPr>
          <w:b/>
          <w:bCs/>
        </w:rPr>
      </w:pPr>
      <w:r>
        <w:rPr>
          <w:b/>
          <w:bCs/>
        </w:rPr>
        <w:t>IV. Umístění projektu</w:t>
      </w:r>
    </w:p>
    <w:p w:rsidR="00962F16" w:rsidRDefault="00962F16">
      <w:pPr>
        <w:keepNext/>
      </w:pPr>
    </w:p>
    <w:tbl>
      <w:tblPr>
        <w:tblStyle w:val="affffff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962F16">
        <w:trPr>
          <w:trHeight w:val="491"/>
        </w:trPr>
        <w:tc>
          <w:tcPr>
            <w:tcW w:w="4248" w:type="dxa"/>
            <w:vMerge w:val="restart"/>
          </w:tcPr>
          <w:p w:rsidR="00962F16" w:rsidRDefault="00C41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962F16" w:rsidRDefault="00962F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2F16" w:rsidRDefault="00C41C08">
            <w:pPr>
              <w:rPr>
                <w:i/>
                <w:iCs/>
              </w:rPr>
            </w:pPr>
            <w:r>
              <w:rPr>
                <w:i/>
                <w:iCs/>
              </w:rPr>
              <w:t>Umístěním projektu se rozumí stát, ve kterém má příjemce podpory sídlo. V případě koprodukce více států uveďte státy, ve kterém mají sídla jednotliví koproducenti.</w:t>
            </w:r>
          </w:p>
          <w:p w:rsidR="00962F16" w:rsidRDefault="00962F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2F16" w:rsidRDefault="00C41C08">
            <w:r>
              <w:t>ANO</w:t>
            </w:r>
          </w:p>
        </w:tc>
        <w:tc>
          <w:tcPr>
            <w:tcW w:w="560" w:type="dxa"/>
          </w:tcPr>
          <w:p w:rsidR="00962F16" w:rsidRDefault="00962F16"/>
        </w:tc>
      </w:tr>
      <w:tr w:rsidR="00962F16">
        <w:trPr>
          <w:trHeight w:val="415"/>
        </w:trPr>
        <w:tc>
          <w:tcPr>
            <w:tcW w:w="4248" w:type="dxa"/>
            <w:vMerge/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962F16" w:rsidRDefault="00C41C08">
            <w:r>
              <w:t xml:space="preserve">NE </w:t>
            </w:r>
          </w:p>
        </w:tc>
        <w:tc>
          <w:tcPr>
            <w:tcW w:w="560" w:type="dxa"/>
          </w:tcPr>
          <w:p w:rsidR="00962F16" w:rsidRDefault="00962F16"/>
        </w:tc>
      </w:tr>
      <w:tr w:rsidR="00962F16">
        <w:trPr>
          <w:trHeight w:val="774"/>
        </w:trPr>
        <w:tc>
          <w:tcPr>
            <w:tcW w:w="4248" w:type="dxa"/>
          </w:tcPr>
          <w:p w:rsidR="00962F16" w:rsidRDefault="00C41C08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sídlo.</w:t>
            </w:r>
          </w:p>
        </w:tc>
        <w:tc>
          <w:tcPr>
            <w:tcW w:w="5380" w:type="dxa"/>
            <w:gridSpan w:val="2"/>
          </w:tcPr>
          <w:p w:rsidR="00962F16" w:rsidRDefault="00962F16"/>
        </w:tc>
      </w:tr>
    </w:tbl>
    <w:p w:rsidR="00962F16" w:rsidRDefault="00962F16"/>
    <w:p w:rsidR="00962F16" w:rsidRDefault="00C41C08">
      <w:pPr>
        <w:keepNext/>
        <w:keepLines/>
        <w:rPr>
          <w:b/>
          <w:bCs/>
        </w:rPr>
      </w:pPr>
      <w:r>
        <w:rPr>
          <w:b/>
          <w:bCs/>
        </w:rPr>
        <w:t>V. Čestná prohlášení žadatele</w:t>
      </w:r>
    </w:p>
    <w:p w:rsidR="00962F16" w:rsidRDefault="00962F16">
      <w:pPr>
        <w:keepNext/>
        <w:keepLines/>
      </w:pPr>
    </w:p>
    <w:p w:rsidR="00962F16" w:rsidRDefault="00C41C08">
      <w:r>
        <w:t xml:space="preserve">     Podpisem této žádosti žadatel stvrzuje správnost a pravdivost údajů uvedených v této žádosti a ve všech jejích přílohách a je si vědom následků případné nepravdivosti uvedených údajů.</w:t>
      </w:r>
    </w:p>
    <w:p w:rsidR="00962F16" w:rsidRDefault="00962F16"/>
    <w:p w:rsidR="00962F16" w:rsidRDefault="00C41C08">
      <w:r>
        <w:t>Podpisem této žádosti žadatel ve smyslu § 39 odst. 1 zákona a v so</w:t>
      </w:r>
      <w:r>
        <w:t>uladu s příslušným ustanovením GBER čestně prohlašuje, že: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</w:t>
      </w:r>
      <w:r>
        <w:t>restné činnosti, pokud se na něho nehledí, jako by nebyl odsouzen; jde-li o právnickou osobu, musí tento předpoklad splňovat jak tato právnická osoba, tak její statutární orgán nebo každý člen statutárního orgánu, a je-li statutárním orgánem příjemce podpo</w:t>
      </w:r>
      <w:r>
        <w:t>ry audiovize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</w:t>
      </w:r>
      <w:r>
        <w:t>ovize zahraniční právnická osoba prostřednictvím své organizační složky, musí předpoklad podle tohoto písmene splňovat vedle uvedených osob rovněž vedoucí této organizační složky; tento předpoklad musí příjemce podpory audiovize splňovat jak ve vztahu k úz</w:t>
      </w:r>
      <w:r>
        <w:t>emí České republiky, tak k zemi svého sídla nebo místa trvalého pobytu,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</w:t>
      </w:r>
      <w:r>
        <w:t>ejíž majetek je postižen nařízeným výkonem rozhodnutí nebo exekucí,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</w:t>
      </w:r>
      <w:r>
        <w:t xml:space="preserve">tek u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</w:t>
      </w:r>
      <w:r>
        <w:t>úhrady na splátky,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</w:t>
      </w:r>
      <w:r>
        <w:t>ůči Státnímu fondu audiovize,</w:t>
      </w:r>
    </w:p>
    <w:p w:rsidR="00962F16" w:rsidRDefault="00C41C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nezahájil práce na projektu nebo činnosti před podáním této žádosti ve smyslu čl. 6 odst. 2 GBER. </w:t>
      </w:r>
    </w:p>
    <w:p w:rsidR="00962F16" w:rsidRDefault="00962F16"/>
    <w:p w:rsidR="00962F16" w:rsidRDefault="00C41C08">
      <w:r>
        <w:t xml:space="preserve">Jedná-li za žadatele osoba od něho odlišná, prohlašuje osoba podepisující tuto žádost, že je oprávněna za žadatele jednat. </w:t>
      </w:r>
    </w:p>
    <w:p w:rsidR="00962F16" w:rsidRDefault="00962F16"/>
    <w:p w:rsidR="00962F16" w:rsidRDefault="00C41C08">
      <w:pPr>
        <w:keepNext/>
        <w:keepLines/>
        <w:rPr>
          <w:b/>
          <w:bCs/>
        </w:rPr>
      </w:pPr>
      <w:r>
        <w:rPr>
          <w:b/>
          <w:bCs/>
        </w:rPr>
        <w:lastRenderedPageBreak/>
        <w:t>V</w:t>
      </w:r>
      <w:r>
        <w:rPr>
          <w:b/>
          <w:bCs/>
        </w:rPr>
        <w:t>I. Podpisová část</w:t>
      </w:r>
    </w:p>
    <w:p w:rsidR="00962F16" w:rsidRDefault="00962F16">
      <w:pPr>
        <w:keepNext/>
        <w:keepLines/>
      </w:pPr>
    </w:p>
    <w:p w:rsidR="00962F16" w:rsidRDefault="00C41C08">
      <w:pPr>
        <w:keepNext/>
        <w:keepLines/>
      </w:pPr>
      <w:r>
        <w:t>Údaje o podepisující osobě a podpis:</w:t>
      </w:r>
    </w:p>
    <w:p w:rsidR="00962F16" w:rsidRDefault="00962F16">
      <w:pPr>
        <w:keepNext/>
        <w:keepLines/>
      </w:pPr>
    </w:p>
    <w:tbl>
      <w:tblPr>
        <w:tblStyle w:val="a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962F16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F16" w:rsidRDefault="00C41C08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F16" w:rsidRDefault="00C41C08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F16" w:rsidRDefault="00C41C08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F16" w:rsidRDefault="00C41C08">
            <w:r>
              <w:t>podpis</w:t>
            </w:r>
          </w:p>
          <w:p w:rsidR="00962F16" w:rsidRDefault="00C41C08">
            <w:r>
              <w:t>(označte křížkem variantu 1. a podepište do podpisového pole, nebo variantu 2.)</w:t>
            </w:r>
          </w:p>
        </w:tc>
      </w:tr>
      <w:tr w:rsidR="00962F16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/>
          <w:p w:rsidR="00962F16" w:rsidRDefault="00962F16"/>
          <w:p w:rsidR="00962F16" w:rsidRDefault="00962F16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2F16" w:rsidRDefault="00C41C08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962F16" w:rsidRDefault="00962F16"/>
        </w:tc>
      </w:tr>
      <w:tr w:rsidR="00962F16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62F16" w:rsidRDefault="00C41C08">
            <w:r>
              <w:t>podpisové pole</w:t>
            </w:r>
          </w:p>
          <w:p w:rsidR="00962F16" w:rsidRDefault="00962F16"/>
          <w:p w:rsidR="00962F16" w:rsidRDefault="00962F16"/>
          <w:p w:rsidR="00962F16" w:rsidRDefault="00962F16"/>
          <w:p w:rsidR="00962F16" w:rsidRDefault="00962F16"/>
        </w:tc>
      </w:tr>
      <w:tr w:rsidR="00962F16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F16" w:rsidRDefault="009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2F16" w:rsidRDefault="00C41C08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F16" w:rsidRDefault="00962F16"/>
        </w:tc>
      </w:tr>
    </w:tbl>
    <w:p w:rsidR="00962F16" w:rsidRDefault="00962F16"/>
    <w:p w:rsidR="00962F16" w:rsidRDefault="00C41C08">
      <w:r>
        <w:t>(tabulku zkopírovat vícekrát v případě, že je více osob jednajících jménem žadatele nebo za žadatele)</w:t>
      </w:r>
    </w:p>
    <w:sectPr w:rsidR="00962F16">
      <w:headerReference w:type="default" r:id="rId8"/>
      <w:footerReference w:type="default" r:id="rId9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08" w:rsidRDefault="00C41C08">
      <w:r>
        <w:separator/>
      </w:r>
    </w:p>
  </w:endnote>
  <w:endnote w:type="continuationSeparator" w:id="0">
    <w:p w:rsidR="00C41C08" w:rsidRDefault="00C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16" w:rsidRDefault="00C41C08">
    <w:r>
      <w:t xml:space="preserve">Strana </w:t>
    </w:r>
    <w:r>
      <w:fldChar w:fldCharType="begin"/>
    </w:r>
    <w:r>
      <w:instrText>PAGE</w:instrText>
    </w:r>
    <w:r w:rsidR="00D408F3">
      <w:fldChar w:fldCharType="separate"/>
    </w:r>
    <w:r w:rsidR="00D408F3">
      <w:rPr>
        <w:noProof/>
      </w:rPr>
      <w:t>1</w:t>
    </w:r>
    <w:r>
      <w:fldChar w:fldCharType="end"/>
    </w:r>
  </w:p>
  <w:p w:rsidR="00962F16" w:rsidRDefault="00962F16"/>
  <w:p w:rsidR="00962F16" w:rsidRDefault="00962F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08" w:rsidRDefault="00C41C08">
      <w:r>
        <w:separator/>
      </w:r>
    </w:p>
  </w:footnote>
  <w:footnote w:type="continuationSeparator" w:id="0">
    <w:p w:rsidR="00C41C08" w:rsidRDefault="00C41C08">
      <w:r>
        <w:continuationSeparator/>
      </w:r>
    </w:p>
  </w:footnote>
  <w:footnote w:id="1">
    <w:p w:rsidR="00962F16" w:rsidRDefault="00C41C0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962F16" w:rsidRDefault="00C41C08">
      <w:pP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Podle obecné definic</w:t>
      </w:r>
      <w:r>
        <w:rPr>
          <w:color w:val="000000"/>
          <w:sz w:val="18"/>
          <w:szCs w:val="18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  <w:sz w:val="18"/>
          <w:szCs w:val="18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962F16" w:rsidRDefault="00C41C0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V případě, že se v průběhu realizace projektu změní postavení </w:t>
      </w:r>
      <w:r>
        <w:rPr>
          <w:color w:val="000000"/>
          <w:sz w:val="18"/>
          <w:szCs w:val="18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Podnikem se rozumí každý subjekt vykonávající hospodářskou činnost spočívající v n</w:t>
      </w:r>
      <w:r>
        <w:rPr>
          <w:sz w:val="18"/>
          <w:szCs w:val="18"/>
        </w:rPr>
        <w:t xml:space="preserve">abízení výrobků a služeb, bez ohledu na jeho právní formu (viz příloha č. I. GBER). </w:t>
      </w:r>
      <w:r>
        <w:rPr>
          <w:b/>
          <w:bCs/>
          <w:sz w:val="18"/>
          <w:szCs w:val="18"/>
        </w:rPr>
        <w:t>Příklady</w:t>
      </w:r>
      <w:r>
        <w:rPr>
          <w:sz w:val="18"/>
          <w:szCs w:val="18"/>
        </w:rPr>
        <w:t xml:space="preserve"> entit naplňující znaky podniku jsou fyzické osoby – podnikatelé (</w:t>
      </w:r>
      <w:r>
        <w:rPr>
          <w:b/>
          <w:bCs/>
          <w:sz w:val="18"/>
          <w:szCs w:val="18"/>
        </w:rPr>
        <w:t>OSVČ</w:t>
      </w:r>
      <w:r>
        <w:rPr>
          <w:sz w:val="18"/>
          <w:szCs w:val="18"/>
        </w:rPr>
        <w:t>), spolky (občanská sdružení), neziskové organizace (příspěvkové organizace, o.p.s., ústavy aj</w:t>
      </w:r>
      <w:r>
        <w:rPr>
          <w:sz w:val="18"/>
          <w:szCs w:val="18"/>
        </w:rPr>
        <w:t>.), nadace, veřejné instituce, nejrůznější právnické osoby apod.</w:t>
      </w:r>
    </w:p>
  </w:footnote>
  <w:footnote w:id="5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Příloha č. 1 GBER, </w:t>
      </w:r>
      <w:r>
        <w:rPr>
          <w:b/>
          <w:bCs/>
          <w:sz w:val="18"/>
          <w:szCs w:val="18"/>
        </w:rPr>
        <w:t>v případě, že žadatel nemá žádné zaměstnance (např. OSVČ), spadá do kategorie malých a středních podniků.</w:t>
      </w:r>
    </w:p>
  </w:footnote>
  <w:footnote w:id="6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Vychází se z posledního schváleného účetního období vypočtenéh</w:t>
      </w:r>
      <w:r>
        <w:rPr>
          <w:sz w:val="18"/>
          <w:szCs w:val="18"/>
        </w:rP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3" w:name="_heading=h.t0eo7a7qyjwj" w:colFirst="0" w:colLast="0"/>
      <w:bookmarkEnd w:id="3"/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Uveďte tituly, které plánujete distribuovat v následujícím roce. Název může být i prac</w:t>
      </w:r>
      <w:r>
        <w:rPr>
          <w:sz w:val="18"/>
          <w:szCs w:val="18"/>
        </w:rPr>
        <w:t>ovní</w:t>
      </w:r>
      <w:r>
        <w:rPr>
          <w:sz w:val="18"/>
          <w:szCs w:val="18"/>
        </w:rPr>
        <w:t xml:space="preserve"> či v původním jazyce, pokud ještě není znám český distribuční název. Pokud ještě neznáte konkrétní tituly, lze uvést i typ plánovaného titulu, např. </w:t>
      </w:r>
      <w:r w:rsidR="00D408F3">
        <w:rPr>
          <w:sz w:val="18"/>
          <w:szCs w:val="18"/>
        </w:rPr>
        <w:t>„</w:t>
      </w:r>
      <w:r>
        <w:rPr>
          <w:sz w:val="18"/>
          <w:szCs w:val="18"/>
        </w:rPr>
        <w:t xml:space="preserve">vítěz velkého evropského festivalu” nebo </w:t>
      </w:r>
      <w:r w:rsidR="00D408F3">
        <w:rPr>
          <w:sz w:val="18"/>
          <w:szCs w:val="18"/>
        </w:rPr>
        <w:t>„</w:t>
      </w:r>
      <w:r>
        <w:rPr>
          <w:sz w:val="18"/>
          <w:szCs w:val="18"/>
        </w:rPr>
        <w:t xml:space="preserve">francouzská komedie” atp. </w:t>
      </w:r>
      <w:r>
        <w:rPr>
          <w:sz w:val="18"/>
          <w:szCs w:val="18"/>
        </w:rPr>
        <w:t>V případě potřeby přidejte řádky.</w:t>
      </w:r>
    </w:p>
  </w:footnote>
  <w:footnote w:id="8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Předpoklad zisku projektu není překážkou v udělení podpory audiovize. </w:t>
      </w:r>
    </w:p>
  </w:footnote>
  <w:footnote w:id="9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Odhadované výnosy žadatele, které budou zachycené v jeho účetnictví.</w:t>
      </w:r>
    </w:p>
  </w:footnote>
  <w:footnote w:id="10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 půjčovného z kin. </w:t>
      </w:r>
      <w:r>
        <w:br/>
      </w:r>
      <w:r>
        <w:rPr>
          <w:i/>
          <w:iCs/>
          <w:sz w:val="18"/>
          <w:szCs w:val="18"/>
        </w:rPr>
        <w:t>Příklad výpočtu: Hrubá tržba filmu v kinech při odhadu 5 000 diváků a průměrném vstupném 130 Kč bude 650 000 Kč. Distributorem vyfakturované půjčovné z kin bude po odečtení DPH, odvodu Fondu a OSA 290 000 Kč. Distributor zde uvede tuto částku, pokud bude ž</w:t>
      </w:r>
      <w:r>
        <w:rPr>
          <w:i/>
          <w:iCs/>
          <w:sz w:val="18"/>
          <w:szCs w:val="18"/>
        </w:rPr>
        <w:t>adatelem producent, který má s distributorem uzavřenou smlouvu např. s 80% podílem z vyfakturovaného půjčovného, uvede zde částku cca 232 tisíc Kč.</w:t>
      </w:r>
    </w:p>
  </w:footnote>
  <w:footnote w:id="11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Odhadované výnosy žadatele z VOD distribuce v ČR, popř. cena sublicencí pro VOD distribuci v ČR (SVOD, TVO</w:t>
      </w:r>
      <w:r>
        <w:rPr>
          <w:sz w:val="18"/>
          <w:szCs w:val="18"/>
        </w:rPr>
        <w:t xml:space="preserve">D, popř. AVOD). </w:t>
      </w:r>
      <w:r>
        <w:rPr>
          <w:sz w:val="18"/>
          <w:szCs w:val="18"/>
        </w:rPr>
        <w:br/>
      </w:r>
      <w:r>
        <w:rPr>
          <w:i/>
          <w:iCs/>
          <w:sz w:val="18"/>
          <w:szCs w:val="18"/>
        </w:rPr>
        <w:t>Příklad výpočtu: Žadatel sečte odhady podílů z VOD příjmů z různých platforem v ČR, které budou vyfakturovány, popř. výnosy od koncových uživatelů, pokud sám nějakou platformu na území ČR provozuje.</w:t>
      </w:r>
      <w:r>
        <w:rPr>
          <w:sz w:val="18"/>
          <w:szCs w:val="18"/>
        </w:rPr>
        <w:t xml:space="preserve"> </w:t>
      </w:r>
    </w:p>
  </w:footnote>
  <w:footnote w:id="12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Odhadované výnosy žadatele z </w:t>
      </w:r>
      <w:proofErr w:type="spellStart"/>
      <w:r>
        <w:rPr>
          <w:sz w:val="18"/>
          <w:szCs w:val="18"/>
        </w:rPr>
        <w:t>home</w:t>
      </w:r>
      <w:proofErr w:type="spellEnd"/>
      <w:r>
        <w:rPr>
          <w:sz w:val="18"/>
          <w:szCs w:val="18"/>
        </w:rPr>
        <w:t xml:space="preserve"> vid</w:t>
      </w:r>
      <w:r>
        <w:rPr>
          <w:sz w:val="18"/>
          <w:szCs w:val="18"/>
        </w:rPr>
        <w:t xml:space="preserve">eo distribuce (DVD, </w:t>
      </w:r>
      <w:proofErr w:type="spellStart"/>
      <w:r>
        <w:rPr>
          <w:sz w:val="18"/>
          <w:szCs w:val="18"/>
        </w:rPr>
        <w:t>Blu-ray</w:t>
      </w:r>
      <w:proofErr w:type="spellEnd"/>
      <w:r>
        <w:rPr>
          <w:sz w:val="18"/>
          <w:szCs w:val="18"/>
        </w:rPr>
        <w:t xml:space="preserve"> Disk apod.) v ČR, popř. cena sublicencí pro </w:t>
      </w:r>
      <w:proofErr w:type="spellStart"/>
      <w:r>
        <w:rPr>
          <w:sz w:val="18"/>
          <w:szCs w:val="18"/>
        </w:rPr>
        <w:t>home</w:t>
      </w:r>
      <w:proofErr w:type="spellEnd"/>
      <w:r>
        <w:rPr>
          <w:sz w:val="18"/>
          <w:szCs w:val="18"/>
        </w:rPr>
        <w:t xml:space="preserve"> video distribuci v ČR. </w:t>
      </w:r>
      <w:r>
        <w:rPr>
          <w:sz w:val="18"/>
          <w:szCs w:val="18"/>
        </w:rPr>
        <w:br/>
      </w:r>
      <w:r>
        <w:rPr>
          <w:i/>
          <w:iCs/>
          <w:sz w:val="18"/>
          <w:szCs w:val="18"/>
        </w:rPr>
        <w:t xml:space="preserve">Příklad výpočtu: Odhady podílů za výnosy z prodeje </w:t>
      </w:r>
      <w:proofErr w:type="spellStart"/>
      <w:r>
        <w:rPr>
          <w:i/>
          <w:iCs/>
          <w:sz w:val="18"/>
          <w:szCs w:val="18"/>
        </w:rPr>
        <w:t>home</w:t>
      </w:r>
      <w:proofErr w:type="spellEnd"/>
      <w:r>
        <w:rPr>
          <w:i/>
          <w:iCs/>
          <w:sz w:val="18"/>
          <w:szCs w:val="18"/>
        </w:rPr>
        <w:t xml:space="preserve"> video práv v ČR (cena sublicence), které budou vyfakturovány, popř. pokud žadatel vydává a distribu</w:t>
      </w:r>
      <w:r>
        <w:rPr>
          <w:i/>
          <w:iCs/>
          <w:sz w:val="18"/>
          <w:szCs w:val="18"/>
        </w:rPr>
        <w:t>uje přímo sám, pak předpokládané výnosy z takové distribuce (počet disků x výnos z jednoho).</w:t>
      </w:r>
    </w:p>
  </w:footnote>
  <w:footnote w:id="13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Odhadované výnosy z prodeje TV práv (Free TV, </w:t>
      </w:r>
      <w:proofErr w:type="spellStart"/>
      <w:r>
        <w:rPr>
          <w:sz w:val="18"/>
          <w:szCs w:val="18"/>
        </w:rPr>
        <w:t>Pay</w:t>
      </w:r>
      <w:proofErr w:type="spellEnd"/>
      <w:r>
        <w:rPr>
          <w:sz w:val="18"/>
          <w:szCs w:val="18"/>
        </w:rPr>
        <w:t xml:space="preserve"> TV).</w:t>
      </w:r>
    </w:p>
  </w:footnote>
  <w:footnote w:id="14">
    <w:p w:rsidR="00962F16" w:rsidRDefault="00C41C0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Odhadované výnosy z prodeje dalších práv jako je </w:t>
      </w:r>
      <w:proofErr w:type="spellStart"/>
      <w:r>
        <w:rPr>
          <w:sz w:val="18"/>
          <w:szCs w:val="18"/>
        </w:rPr>
        <w:t>merchandise</w:t>
      </w:r>
      <w:proofErr w:type="spellEnd"/>
      <w:r>
        <w:rPr>
          <w:sz w:val="18"/>
          <w:szCs w:val="18"/>
        </w:rPr>
        <w:t xml:space="preserve"> apod.</w:t>
      </w:r>
    </w:p>
  </w:footnote>
  <w:footnote w:id="15">
    <w:p w:rsidR="00962F16" w:rsidRDefault="00C41C0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Odhad vyfakturovaného půjčovného z </w:t>
      </w:r>
      <w:r>
        <w:rPr>
          <w:sz w:val="18"/>
          <w:szCs w:val="18"/>
        </w:rPr>
        <w:t xml:space="preserve">kin v zahraničí, popř. cena sublicence pro zahraniční </w:t>
      </w:r>
      <w:proofErr w:type="spellStart"/>
      <w:r>
        <w:rPr>
          <w:sz w:val="18"/>
          <w:szCs w:val="18"/>
        </w:rPr>
        <w:t>kinodistribuci</w:t>
      </w:r>
      <w:proofErr w:type="spellEnd"/>
      <w:r>
        <w:rPr>
          <w:sz w:val="18"/>
          <w:szCs w:val="18"/>
        </w:rPr>
        <w:t>, a odhadované výnosy žadatele z VOD distribuce, z </w:t>
      </w:r>
      <w:proofErr w:type="spellStart"/>
      <w:r>
        <w:rPr>
          <w:sz w:val="18"/>
          <w:szCs w:val="18"/>
        </w:rPr>
        <w:t>home</w:t>
      </w:r>
      <w:proofErr w:type="spellEnd"/>
      <w:r>
        <w:rPr>
          <w:sz w:val="18"/>
          <w:szCs w:val="18"/>
        </w:rPr>
        <w:t xml:space="preserve"> video distribuce, z prodeje TV práv a z prodeje dalších práv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16" w:rsidRDefault="00962F16"/>
  <w:p w:rsidR="00962F16" w:rsidRDefault="00962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B013E"/>
    <w:multiLevelType w:val="multilevel"/>
    <w:tmpl w:val="B8D67C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16"/>
    <w:rsid w:val="00962F16"/>
    <w:rsid w:val="00C41C08"/>
    <w:rsid w:val="00D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CAAE0"/>
  <w15:docId w15:val="{328BE9C7-8205-764C-9CAA-7AB442D5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24786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A247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786"/>
    <w:rPr>
      <w:b/>
      <w:bCs/>
      <w:sz w:val="20"/>
      <w:szCs w:val="20"/>
    </w:rPr>
  </w:style>
  <w:style w:type="table" w:customStyle="1" w:styleId="Svtlmkatabulky1">
    <w:name w:val="Světlá mřížka tabulky1"/>
    <w:basedOn w:val="Normlntabulka"/>
    <w:uiPriority w:val="40"/>
    <w:rsid w:val="0017492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Textpoznpodarou">
    <w:name w:val="footnote text"/>
    <w:link w:val="TextpoznpodarouChar"/>
    <w:uiPriority w:val="99"/>
    <w:semiHidden/>
    <w:unhideWhenUsed/>
    <w:rsid w:val="009C0196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0196"/>
    <w:rPr>
      <w:rFonts w:eastAsia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C0196"/>
    <w:rPr>
      <w:vertAlign w:val="superscript"/>
    </w:rPr>
  </w:style>
  <w:style w:type="character" w:customStyle="1" w:styleId="Nadpis2Char">
    <w:name w:val="Nadpis 2 Char"/>
    <w:basedOn w:val="Standardnpsmoodstavce"/>
    <w:uiPriority w:val="9"/>
    <w:rsid w:val="009C0196"/>
    <w:rPr>
      <w:b/>
      <w:color w:val="000000"/>
    </w:rPr>
  </w:style>
  <w:style w:type="table" w:styleId="Svtlmkatabulky">
    <w:name w:val="Grid Table Light"/>
    <w:basedOn w:val="Normlntabulka"/>
    <w:uiPriority w:val="40"/>
    <w:rsid w:val="009C019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Default">
    <w:name w:val="Default"/>
    <w:rsid w:val="009C01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9C0196"/>
    <w:rPr>
      <w:b/>
      <w:bCs/>
    </w:rPr>
  </w:style>
  <w:style w:type="paragraph" w:styleId="Odstavecseseznamem">
    <w:name w:val="List Paragraph"/>
    <w:uiPriority w:val="34"/>
    <w:qFormat/>
    <w:rsid w:val="001D6219"/>
    <w:pPr>
      <w:ind w:left="720"/>
      <w:contextualSpacing/>
    </w:pPr>
  </w:style>
  <w:style w:type="table" w:customStyle="1" w:styleId="ab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85" w:type="dxa"/>
      </w:tblCellMar>
    </w:tblPr>
  </w:style>
  <w:style w:type="table" w:customStyle="1" w:styleId="af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d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5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3"/>
    <w:tblPr>
      <w:tblStyleRowBandSize w:val="1"/>
      <w:tblStyleColBandSize w:val="1"/>
    </w:tblPr>
  </w:style>
  <w:style w:type="table" w:customStyle="1" w:styleId="aff9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a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85" w:type="dxa"/>
      </w:tblCellMar>
    </w:tblPr>
  </w:style>
  <w:style w:type="table" w:customStyle="1" w:styleId="affd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2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a">
    <w:basedOn w:val="TableNormal2"/>
    <w:tblPr>
      <w:tblStyleRowBandSize w:val="1"/>
      <w:tblStyleColBandSize w:val="1"/>
    </w:tblPr>
  </w:style>
  <w:style w:type="table" w:customStyle="1" w:styleId="afffb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d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e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3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d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e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2D7490"/>
  </w:style>
  <w:style w:type="character" w:styleId="Hypertextovodkaz">
    <w:name w:val="Hyperlink"/>
    <w:basedOn w:val="Standardnpsmoodstavce"/>
    <w:uiPriority w:val="99"/>
    <w:unhideWhenUsed/>
    <w:rsid w:val="003150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50FF"/>
    <w:rPr>
      <w:color w:val="605E5C"/>
      <w:shd w:val="clear" w:color="auto" w:fill="E1DFDD"/>
    </w:rPr>
  </w:style>
  <w:style w:type="paragraph" w:styleId="Zhlav">
    <w:name w:val="header"/>
    <w:link w:val="ZhlavChar"/>
    <w:uiPriority w:val="99"/>
    <w:unhideWhenUsed/>
    <w:rsid w:val="00542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294E"/>
  </w:style>
  <w:style w:type="paragraph" w:styleId="Zpat">
    <w:name w:val="footer"/>
    <w:link w:val="ZpatChar"/>
    <w:uiPriority w:val="99"/>
    <w:unhideWhenUsed/>
    <w:rsid w:val="005429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294E"/>
  </w:style>
  <w:style w:type="paragraph" w:styleId="Textbubliny">
    <w:name w:val="Balloon Text"/>
    <w:link w:val="TextbublinyChar"/>
    <w:uiPriority w:val="99"/>
    <w:semiHidden/>
    <w:unhideWhenUsed/>
    <w:rsid w:val="00FF67B2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B2"/>
    <w:rPr>
      <w:rFonts w:ascii="Times New Roman" w:hAnsi="Times New Roman" w:cs="Times New Roman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3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4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5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6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b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c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iIAj6+X33yhjcsV1IdJNv0f3g==">CgMxLjAyCGguZ2pkZ3hzMgloLjJldDkycDAyDmguOTdmdjI0NW1maWx2Mg5oLnFqemN1eHh2am93MTIOaC50MGVvN2E3cXlqd2o4AGoqChRzdWdnZXN0LmVnY3cyNjE4cTN4ehISTW9uaWthIEJhcnRvxaFvdsOhciExTkhYRFFScEVUMGFXUVNmZnZYMC01Tzk1QXRTQm5EV1c=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Košická</dc:creator>
  <cp:lastModifiedBy>Veronika Lengálová</cp:lastModifiedBy>
  <cp:revision>2</cp:revision>
  <dcterms:created xsi:type="dcterms:W3CDTF">2026-01-03T14:35:00Z</dcterms:created>
  <dcterms:modified xsi:type="dcterms:W3CDTF">2026-01-29T20:58:00Z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