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5B27" w14:textId="201D6E86" w:rsidR="00A30A12" w:rsidRDefault="00CC7B97" w:rsidP="00DB7318">
      <w:pPr>
        <w:pStyle w:val="Nadpis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0A12">
        <w:t xml:space="preserve">Výzva k podávání návrhů </w:t>
      </w:r>
      <w:r w:rsidR="005B080D">
        <w:t xml:space="preserve">kandidátů na členství v </w:t>
      </w:r>
      <w:r w:rsidR="00A30A12">
        <w:t>Komis</w:t>
      </w:r>
      <w:r w:rsidR="005B080D">
        <w:t>i</w:t>
      </w:r>
      <w:r w:rsidR="00A30A12">
        <w:t xml:space="preserve"> </w:t>
      </w:r>
      <w:r w:rsidR="005C4E6A">
        <w:t xml:space="preserve">pro filmové pobídky </w:t>
      </w:r>
      <w:r w:rsidR="00A30A12">
        <w:t xml:space="preserve">Státního fondu </w:t>
      </w:r>
      <w:r w:rsidR="005B080D">
        <w:t>audiovize</w:t>
      </w:r>
    </w:p>
    <w:p w14:paraId="5AFC2829" w14:textId="77777777" w:rsidR="005B080D" w:rsidRPr="005B080D" w:rsidRDefault="005B080D" w:rsidP="005B080D"/>
    <w:p w14:paraId="49B2DFA7" w14:textId="4DAD62DE" w:rsidR="00A30A12" w:rsidRPr="00350463" w:rsidRDefault="005B080D" w:rsidP="00A30A12">
      <w:pPr>
        <w:rPr>
          <w:i/>
          <w:iCs/>
        </w:rPr>
      </w:pPr>
      <w:r w:rsidRPr="005B080D">
        <w:t>Ředitelka Státního fondu audiovize (dále také jen „Fond“) vyhlašuje výzv</w:t>
      </w:r>
      <w:r>
        <w:t xml:space="preserve">u k </w:t>
      </w:r>
      <w:r w:rsidRPr="005B080D">
        <w:t xml:space="preserve">podávání návrhů </w:t>
      </w:r>
      <w:r>
        <w:t xml:space="preserve">kandidátů na členství v Komisi pro filmové pobídky (dále jen „Komise“) podle </w:t>
      </w:r>
      <w:r w:rsidRPr="005B080D">
        <w:t>zákona č. 496/2012 Sb., o audioviz</w:t>
      </w:r>
      <w:r>
        <w:t xml:space="preserve">i </w:t>
      </w:r>
      <w:r w:rsidRPr="005B080D">
        <w:t xml:space="preserve">v platném znění </w:t>
      </w:r>
      <w:r>
        <w:t xml:space="preserve">(dále jen „zákon“) </w:t>
      </w:r>
      <w:r w:rsidRPr="005B080D">
        <w:t xml:space="preserve">a vyzývá profesní organizace </w:t>
      </w:r>
      <w:r>
        <w:t>k</w:t>
      </w:r>
      <w:r w:rsidR="005C4E6A">
        <w:t xml:space="preserve"> podávání návrhů </w:t>
      </w:r>
      <w:r w:rsidR="00A30A12">
        <w:t>kandidát</w:t>
      </w:r>
      <w:r w:rsidR="005C4E6A">
        <w:t>ů</w:t>
      </w:r>
      <w:r w:rsidR="00A30A12">
        <w:t xml:space="preserve"> na členství v</w:t>
      </w:r>
      <w:r w:rsidR="005C4E6A">
        <w:t> </w:t>
      </w:r>
      <w:r w:rsidR="00A30A12">
        <w:t>Komisi</w:t>
      </w:r>
      <w:r w:rsidR="00771DED" w:rsidRPr="00350463">
        <w:rPr>
          <w:i/>
          <w:iCs/>
        </w:rPr>
        <w:t>.</w:t>
      </w:r>
    </w:p>
    <w:tbl>
      <w:tblPr>
        <w:tblStyle w:val="Svtlmkatabulky"/>
        <w:tblpPr w:leftFromText="141" w:rightFromText="141" w:vertAnchor="text" w:tblpXSpec="center" w:tblpY="463"/>
        <w:tblW w:w="9527" w:type="dxa"/>
        <w:tblLayout w:type="fixed"/>
        <w:tblLook w:val="0000" w:firstRow="0" w:lastRow="0" w:firstColumn="0" w:lastColumn="0" w:noHBand="0" w:noVBand="0"/>
      </w:tblPr>
      <w:tblGrid>
        <w:gridCol w:w="2263"/>
        <w:gridCol w:w="115"/>
        <w:gridCol w:w="7149"/>
      </w:tblGrid>
      <w:tr w:rsidR="001856F7" w:rsidRPr="001856F7" w14:paraId="5F06B3B8" w14:textId="77777777" w:rsidTr="003B54F8">
        <w:trPr>
          <w:trHeight w:hRule="exact" w:val="652"/>
        </w:trPr>
        <w:tc>
          <w:tcPr>
            <w:tcW w:w="2378" w:type="dxa"/>
            <w:gridSpan w:val="2"/>
          </w:tcPr>
          <w:p w14:paraId="6E3AE680" w14:textId="77777777" w:rsidR="001856F7" w:rsidRPr="001856F7" w:rsidRDefault="001856F7" w:rsidP="003B54F8">
            <w:pPr>
              <w:pStyle w:val="Nadpis2"/>
            </w:pPr>
            <w:r w:rsidRPr="001856F7">
              <w:t>Lhůta pro podávání návrhů</w:t>
            </w:r>
          </w:p>
        </w:tc>
        <w:tc>
          <w:tcPr>
            <w:tcW w:w="7149" w:type="dxa"/>
          </w:tcPr>
          <w:p w14:paraId="64A9BEB9" w14:textId="40A7F4AF" w:rsidR="001856F7" w:rsidRPr="001856F7" w:rsidRDefault="00B41C1A" w:rsidP="006304B1">
            <w:pPr>
              <w:pStyle w:val="Nadpis2"/>
            </w:pPr>
            <w:r>
              <w:t>1</w:t>
            </w:r>
            <w:r w:rsidR="00027795">
              <w:t>3</w:t>
            </w:r>
            <w:r w:rsidR="00390D4E">
              <w:t xml:space="preserve">. </w:t>
            </w:r>
            <w:r>
              <w:t>ledna</w:t>
            </w:r>
            <w:r w:rsidR="00390D4E">
              <w:t xml:space="preserve"> </w:t>
            </w:r>
            <w:r w:rsidR="00404694">
              <w:t>2026–10</w:t>
            </w:r>
            <w:r w:rsidR="00390D4E">
              <w:t xml:space="preserve">. </w:t>
            </w:r>
            <w:r>
              <w:t>února</w:t>
            </w:r>
            <w:r w:rsidR="006304B1">
              <w:t xml:space="preserve"> 202</w:t>
            </w:r>
            <w:r w:rsidR="00AF163D">
              <w:t>6</w:t>
            </w:r>
          </w:p>
        </w:tc>
      </w:tr>
      <w:tr w:rsidR="001856F7" w:rsidRPr="001856F7" w14:paraId="424C0413" w14:textId="77777777" w:rsidTr="003B54F8">
        <w:trPr>
          <w:trHeight w:val="4142"/>
        </w:trPr>
        <w:tc>
          <w:tcPr>
            <w:tcW w:w="2378" w:type="dxa"/>
            <w:gridSpan w:val="2"/>
          </w:tcPr>
          <w:p w14:paraId="1F2984FE" w14:textId="77777777" w:rsidR="001856F7" w:rsidRPr="001856F7" w:rsidRDefault="001856F7" w:rsidP="003B54F8">
            <w:pPr>
              <w:pStyle w:val="Nadpis2"/>
            </w:pPr>
            <w:r w:rsidRPr="001856F7">
              <w:t xml:space="preserve">Doručení </w:t>
            </w:r>
          </w:p>
        </w:tc>
        <w:tc>
          <w:tcPr>
            <w:tcW w:w="7149" w:type="dxa"/>
          </w:tcPr>
          <w:p w14:paraId="16DFD460" w14:textId="0D2447C5" w:rsidR="005C4E6A" w:rsidRDefault="00A30A12" w:rsidP="00A30A12">
            <w:r>
              <w:t>Návrhy na člen</w:t>
            </w:r>
            <w:r w:rsidR="00B41C1A">
              <w:t>y</w:t>
            </w:r>
            <w:r>
              <w:t xml:space="preserve"> Komise lze podat pouze na formuláři Fondu. </w:t>
            </w:r>
          </w:p>
          <w:p w14:paraId="23E32105" w14:textId="77777777" w:rsidR="005C4E6A" w:rsidRDefault="005C4E6A" w:rsidP="00A30A12"/>
          <w:p w14:paraId="5B7694DB" w14:textId="77777777" w:rsidR="00A30A12" w:rsidRDefault="00A30A12" w:rsidP="00A30A12">
            <w:r>
              <w:t xml:space="preserve">Každý formulář může obsahovat návrh vždy pouze na jednoho kandidáta na členství v Komisi. </w:t>
            </w:r>
          </w:p>
          <w:p w14:paraId="6F397FCE" w14:textId="77777777" w:rsidR="00A30A12" w:rsidRDefault="00A30A12" w:rsidP="00A30A12"/>
          <w:p w14:paraId="0BE8F168" w14:textId="77777777" w:rsidR="00A30A12" w:rsidRDefault="00A30A12" w:rsidP="00A30A12">
            <w:r>
              <w:t xml:space="preserve">Počet kandidátů navržených jednou profesní organizací není omezen. </w:t>
            </w:r>
          </w:p>
          <w:p w14:paraId="0281E818" w14:textId="77777777" w:rsidR="001856F7" w:rsidRPr="001856F7" w:rsidRDefault="001856F7" w:rsidP="003B54F8"/>
          <w:p w14:paraId="4CB194DE" w14:textId="45C58909" w:rsidR="001856F7" w:rsidRPr="001856F7" w:rsidRDefault="005C4E6A" w:rsidP="003B54F8">
            <w:r>
              <w:t>Návrhy osob, které nejsou k navrhování členů Komise oprávněny, n</w:t>
            </w:r>
            <w:r w:rsidR="001856F7" w:rsidRPr="001856F7">
              <w:t xml:space="preserve">ávrhy podané po </w:t>
            </w:r>
            <w:r w:rsidR="00D926E7">
              <w:t xml:space="preserve">skončení lhůty k jejich podávání </w:t>
            </w:r>
            <w:r w:rsidR="00D926E7" w:rsidRPr="001856F7">
              <w:t>a</w:t>
            </w:r>
            <w:r w:rsidR="001856F7" w:rsidRPr="001856F7">
              <w:t xml:space="preserve"> návrhy ne</w:t>
            </w:r>
            <w:r w:rsidR="00D926E7">
              <w:t xml:space="preserve">splňující náležitosti </w:t>
            </w:r>
            <w:r w:rsidR="001856F7" w:rsidRPr="001856F7">
              <w:t>budou vy</w:t>
            </w:r>
            <w:r w:rsidR="00D926E7">
              <w:t>řazeny</w:t>
            </w:r>
            <w:r w:rsidR="001856F7" w:rsidRPr="001856F7">
              <w:t>.</w:t>
            </w:r>
          </w:p>
          <w:p w14:paraId="53A8F2AC" w14:textId="77777777" w:rsidR="001856F7" w:rsidRPr="001856F7" w:rsidRDefault="001856F7" w:rsidP="003B54F8"/>
          <w:p w14:paraId="1372A227" w14:textId="77777777" w:rsidR="005C4E6A" w:rsidRDefault="001856F7" w:rsidP="003B54F8">
            <w:r w:rsidRPr="001856F7">
              <w:t xml:space="preserve">Doručení </w:t>
            </w:r>
            <w:r w:rsidR="005C4E6A">
              <w:t>písemnou formou</w:t>
            </w:r>
          </w:p>
          <w:p w14:paraId="2FC37AB3" w14:textId="77777777" w:rsidR="001856F7" w:rsidRDefault="001856F7" w:rsidP="005C4E6A">
            <w:pPr>
              <w:pStyle w:val="Odstavecseseznamem"/>
              <w:numPr>
                <w:ilvl w:val="0"/>
                <w:numId w:val="24"/>
              </w:numPr>
            </w:pPr>
            <w:r w:rsidRPr="001856F7">
              <w:t>do datové schránky Fondu: ng8unnb</w:t>
            </w:r>
          </w:p>
          <w:p w14:paraId="7946F845" w14:textId="77777777" w:rsidR="005C4E6A" w:rsidRPr="00B41C1A" w:rsidRDefault="005C4E6A" w:rsidP="005C4E6A">
            <w:pPr>
              <w:pStyle w:val="Odstavecseseznamem"/>
              <w:numPr>
                <w:ilvl w:val="0"/>
                <w:numId w:val="25"/>
              </w:numPr>
              <w:rPr>
                <w:u w:val="single"/>
              </w:rPr>
            </w:pPr>
            <w:r w:rsidRPr="00B41C1A">
              <w:rPr>
                <w:u w:val="single"/>
              </w:rPr>
              <w:t xml:space="preserve">v případě podání datovou schránkou je třeba, aby čestné prohlášení kandidáta bylo podepsáno zaručeným elektronickým podpisem </w:t>
            </w:r>
          </w:p>
          <w:p w14:paraId="32AF67B4" w14:textId="0CEF95C2" w:rsidR="005C4E6A" w:rsidRDefault="005C4E6A" w:rsidP="005C4E6A">
            <w:pPr>
              <w:pStyle w:val="Odstavecseseznamem"/>
              <w:numPr>
                <w:ilvl w:val="0"/>
                <w:numId w:val="24"/>
              </w:numPr>
            </w:pPr>
            <w:r>
              <w:t>poštou</w:t>
            </w:r>
            <w:r w:rsidR="00B41C1A">
              <w:t>/osobně na</w:t>
            </w:r>
            <w:r>
              <w:t xml:space="preserve"> </w:t>
            </w:r>
            <w:r w:rsidR="00B41C1A">
              <w:t>adresu: Státní</w:t>
            </w:r>
            <w:r w:rsidR="00890387">
              <w:t xml:space="preserve"> fond </w:t>
            </w:r>
            <w:r w:rsidR="00B41C1A">
              <w:t>audiovize</w:t>
            </w:r>
          </w:p>
          <w:p w14:paraId="0E2A28F4" w14:textId="77777777" w:rsidR="00890387" w:rsidRDefault="00890387" w:rsidP="00890387">
            <w:pPr>
              <w:pStyle w:val="Odstavecseseznamem"/>
            </w:pPr>
            <w:r>
              <w:t xml:space="preserve">                                            Veletržní palác</w:t>
            </w:r>
          </w:p>
          <w:p w14:paraId="0271D3D7" w14:textId="77777777" w:rsidR="00890387" w:rsidRDefault="00890387" w:rsidP="00890387">
            <w:pPr>
              <w:pStyle w:val="Odstavecseseznamem"/>
            </w:pPr>
            <w:r>
              <w:t xml:space="preserve">                                            Dukelských hrdinů 47</w:t>
            </w:r>
          </w:p>
          <w:p w14:paraId="63D87F3F" w14:textId="77777777" w:rsidR="00890387" w:rsidRDefault="00890387" w:rsidP="00890387">
            <w:pPr>
              <w:pStyle w:val="Odstavecseseznamem"/>
            </w:pPr>
            <w:r>
              <w:t xml:space="preserve">                                            170 00 Praha 7</w:t>
            </w:r>
          </w:p>
          <w:p w14:paraId="3AD0BD1D" w14:textId="77777777" w:rsidR="00B41C1A" w:rsidRDefault="00B41C1A" w:rsidP="00890387">
            <w:pPr>
              <w:pStyle w:val="Odstavecseseznamem"/>
            </w:pPr>
          </w:p>
          <w:p w14:paraId="04CF727C" w14:textId="77777777" w:rsidR="00B41C1A" w:rsidRDefault="00B41C1A" w:rsidP="00B41C1A">
            <w:r w:rsidRPr="00B41C1A">
              <w:t xml:space="preserve">V případě osobního doručení je nutné akceptovat úřední hodiny podatelny Fondu, které jsou zveřejněné na adrese webu Fondu. </w:t>
            </w:r>
          </w:p>
          <w:p w14:paraId="78F80880" w14:textId="77777777" w:rsidR="00126750" w:rsidRDefault="00126750" w:rsidP="00B41C1A"/>
          <w:p w14:paraId="0396912C" w14:textId="4232BA8D" w:rsidR="001856F7" w:rsidRPr="00875D2A" w:rsidRDefault="00B41C1A" w:rsidP="00B41C1A">
            <w:r w:rsidRPr="00B41C1A">
              <w:t>Dokumenty, které jsou součástí návrhu kandidáta nebo jsou k návrhu přikládány, mohou být předloženy v kopiích; Fond si může vyžádat originál nebo úředně ověřenou kopii. Dokumenty v jiném než českém nebo slovenském jazyce musí být doplněny jejich překladem do českého jazyka; Fond si může vyžádat předložení úředního překladu do českého jazyka.</w:t>
            </w:r>
          </w:p>
        </w:tc>
      </w:tr>
      <w:tr w:rsidR="001856F7" w:rsidRPr="001856F7" w14:paraId="3449049E" w14:textId="77777777" w:rsidTr="003B54F8">
        <w:trPr>
          <w:trHeight w:val="567"/>
        </w:trPr>
        <w:tc>
          <w:tcPr>
            <w:tcW w:w="2378" w:type="dxa"/>
            <w:gridSpan w:val="2"/>
          </w:tcPr>
          <w:p w14:paraId="7945247E" w14:textId="77777777" w:rsidR="001856F7" w:rsidRPr="001856F7" w:rsidRDefault="001856F7" w:rsidP="003B54F8">
            <w:pPr>
              <w:pStyle w:val="Nadpis2"/>
            </w:pPr>
            <w:r w:rsidRPr="001856F7">
              <w:t>Kontaktní osoba</w:t>
            </w:r>
          </w:p>
        </w:tc>
        <w:tc>
          <w:tcPr>
            <w:tcW w:w="7149" w:type="dxa"/>
          </w:tcPr>
          <w:p w14:paraId="6C95DC93" w14:textId="77777777" w:rsidR="00A30A12" w:rsidRPr="00DB7318" w:rsidRDefault="00B12411" w:rsidP="003B54F8">
            <w:r>
              <w:t>Pavla Mrázková</w:t>
            </w:r>
            <w:r w:rsidR="00A30A12" w:rsidRPr="00DB7318">
              <w:t xml:space="preserve"> </w:t>
            </w:r>
          </w:p>
          <w:p w14:paraId="4C3BD555" w14:textId="77777777" w:rsidR="00A30A12" w:rsidRPr="00DB7318" w:rsidRDefault="00DB7318" w:rsidP="003B54F8">
            <w:r>
              <w:t>Tel.:</w:t>
            </w:r>
            <w:r w:rsidR="006304B1">
              <w:t xml:space="preserve"> 778 718 541</w:t>
            </w:r>
          </w:p>
          <w:p w14:paraId="2E74074E" w14:textId="77777777" w:rsidR="001856F7" w:rsidRPr="001856F7" w:rsidRDefault="00DB7318" w:rsidP="003B54F8">
            <w:r>
              <w:t xml:space="preserve">e-mail: </w:t>
            </w:r>
            <w:r w:rsidR="00B12411">
              <w:t>pavla.mrazkova</w:t>
            </w:r>
            <w:r w:rsidR="00A30A12" w:rsidRPr="00DB7318">
              <w:t>@fondkinematografie.cz</w:t>
            </w:r>
          </w:p>
        </w:tc>
      </w:tr>
      <w:tr w:rsidR="001856F7" w:rsidRPr="001856F7" w14:paraId="1DF2D4D7" w14:textId="77777777" w:rsidTr="003B54F8">
        <w:trPr>
          <w:trHeight w:val="567"/>
        </w:trPr>
        <w:tc>
          <w:tcPr>
            <w:tcW w:w="9527" w:type="dxa"/>
            <w:gridSpan w:val="3"/>
          </w:tcPr>
          <w:p w14:paraId="7042ED99" w14:textId="77777777" w:rsidR="001856F7" w:rsidRPr="001856F7" w:rsidRDefault="001856F7" w:rsidP="003B54F8"/>
          <w:p w14:paraId="6E97F8F6" w14:textId="0CF9DC10" w:rsidR="00F42453" w:rsidRPr="00D926E7" w:rsidRDefault="00A30A12" w:rsidP="00A30A12">
            <w:r w:rsidRPr="00D926E7">
              <w:t>K</w:t>
            </w:r>
            <w:r w:rsidR="00D92770" w:rsidRPr="00D926E7">
              <w:t xml:space="preserve">omise na základě ustanovení § </w:t>
            </w:r>
            <w:r w:rsidR="00B41C1A" w:rsidRPr="00D926E7">
              <w:t xml:space="preserve">46 </w:t>
            </w:r>
            <w:r w:rsidR="00754255" w:rsidRPr="00D926E7">
              <w:t>zákona:</w:t>
            </w:r>
          </w:p>
          <w:p w14:paraId="47708E11" w14:textId="77777777" w:rsidR="00534346" w:rsidRDefault="00534346" w:rsidP="00A30A12"/>
          <w:p w14:paraId="0CF74E6C" w14:textId="77777777" w:rsidR="00F42453" w:rsidRDefault="00B41C1A" w:rsidP="00F42453">
            <w:pPr>
              <w:pStyle w:val="Odstavecseseznamem"/>
              <w:numPr>
                <w:ilvl w:val="0"/>
                <w:numId w:val="26"/>
              </w:numPr>
            </w:pPr>
            <w:r>
              <w:t>p</w:t>
            </w:r>
            <w:r w:rsidR="00A30A12">
              <w:t xml:space="preserve">osuzuje žádosti o </w:t>
            </w:r>
            <w:r w:rsidR="00F42453">
              <w:t xml:space="preserve">zápis pobídkového projektu z hlediska </w:t>
            </w:r>
            <w:r w:rsidR="00A30A12">
              <w:t>splnění obsahových předpokladů podle</w:t>
            </w:r>
            <w:r w:rsidR="00D92770">
              <w:t xml:space="preserve"> ustanovení</w:t>
            </w:r>
            <w:r w:rsidR="00A30A12">
              <w:t xml:space="preserve"> </w:t>
            </w:r>
            <w:r w:rsidR="00D92770">
              <w:t>§ 4</w:t>
            </w:r>
            <w:r w:rsidR="00F42453">
              <w:t>3</w:t>
            </w:r>
            <w:r w:rsidR="00D92770">
              <w:t xml:space="preserve"> odst. 1 </w:t>
            </w:r>
            <w:r w:rsidR="00A30A12">
              <w:t>písm. c)</w:t>
            </w:r>
            <w:r w:rsidR="00F42453">
              <w:t>, a to i po případné změně, k níž má dojít na základě žádosti žadatele podle § 52b odst. 5 zákona.</w:t>
            </w:r>
          </w:p>
          <w:p w14:paraId="7B852C06" w14:textId="77777777" w:rsidR="00F42453" w:rsidRDefault="00F42453" w:rsidP="00F42453">
            <w:pPr>
              <w:pStyle w:val="Odstavecseseznamem"/>
              <w:numPr>
                <w:ilvl w:val="0"/>
                <w:numId w:val="26"/>
              </w:numPr>
            </w:pPr>
            <w:r>
              <w:t xml:space="preserve">posuzuje, zda </w:t>
            </w:r>
          </w:p>
          <w:p w14:paraId="352EE0B4" w14:textId="77777777" w:rsidR="00875D2A" w:rsidRDefault="00875D2A" w:rsidP="00875D2A">
            <w:pPr>
              <w:pStyle w:val="Odstavecseseznamem"/>
            </w:pPr>
            <w:r>
              <w:t>1. jsou pobídkové projekty shodné podle § 42 odst. 7 zákona,</w:t>
            </w:r>
          </w:p>
          <w:p w14:paraId="626F2870" w14:textId="77777777" w:rsidR="00875D2A" w:rsidRDefault="00875D2A" w:rsidP="00875D2A">
            <w:pPr>
              <w:pStyle w:val="Odstavecseseznamem"/>
            </w:pPr>
            <w:r>
              <w:t>2. tvoří některá audiovizuální díla seriál a</w:t>
            </w:r>
          </w:p>
          <w:p w14:paraId="5D6F42BA" w14:textId="77777777" w:rsidR="00875D2A" w:rsidRDefault="00875D2A" w:rsidP="00875D2A">
            <w:pPr>
              <w:pStyle w:val="Odstavecseseznamem"/>
            </w:pPr>
            <w:r>
              <w:t>3. jde o hrané, animované nebo dokumentární audiovizuální dílo, a</w:t>
            </w:r>
          </w:p>
          <w:p w14:paraId="0159998E" w14:textId="4AE8D1A7" w:rsidR="00875D2A" w:rsidRDefault="00875D2A" w:rsidP="00F42453">
            <w:pPr>
              <w:pStyle w:val="Odstavecseseznamem"/>
              <w:numPr>
                <w:ilvl w:val="0"/>
                <w:numId w:val="26"/>
              </w:numPr>
            </w:pPr>
            <w:r>
              <w:lastRenderedPageBreak/>
              <w:t>určuje, zda audiovizuální dílo, jehož výroba probíhá v rámci pobídkového projektu a ve vztahu ke kterému nebylo ke dni podání žádosti o filmovou pobídku vydáno rozhodnutí o poskytnutí podpory audiovize v okruhu podle § 31 odst. 1 písm. b), je náročným audiovizuálním dílem a jaká je v takovém případě nejvyšší intenzita veřejné podpory</w:t>
            </w:r>
          </w:p>
          <w:p w14:paraId="2B5B90AB" w14:textId="398BC22A" w:rsidR="00E13CA1" w:rsidRDefault="00E13CA1" w:rsidP="00875D2A">
            <w:pPr>
              <w:ind w:left="356"/>
            </w:pPr>
          </w:p>
          <w:p w14:paraId="57B99157" w14:textId="04A32197" w:rsidR="00797050" w:rsidRDefault="00A30A12" w:rsidP="00A30A12">
            <w:r>
              <w:t xml:space="preserve">Komise má 5 </w:t>
            </w:r>
            <w:r w:rsidR="00E13CA1">
              <w:t>členů</w:t>
            </w:r>
            <w:r w:rsidR="006A43F0">
              <w:t xml:space="preserve"> a funkční období členů Komise je 3 roky. </w:t>
            </w:r>
          </w:p>
          <w:p w14:paraId="3C7018CD" w14:textId="02642A5B" w:rsidR="006A43F0" w:rsidRDefault="006A43F0" w:rsidP="00A30A12">
            <w:r>
              <w:t>Opětovné jmenování je možné pouze dvakrát.</w:t>
            </w:r>
          </w:p>
          <w:p w14:paraId="5DBC83A3" w14:textId="105FC4F2" w:rsidR="006A43F0" w:rsidRDefault="006A43F0" w:rsidP="00A30A12">
            <w:r>
              <w:t>Členství v Komisi je veřejnou funkcí</w:t>
            </w:r>
            <w:r w:rsidR="00875D2A">
              <w:t>.</w:t>
            </w:r>
          </w:p>
          <w:p w14:paraId="18E10999" w14:textId="77777777" w:rsidR="006A43F0" w:rsidRDefault="006A43F0" w:rsidP="00A30A12"/>
          <w:p w14:paraId="5BDD4DDA" w14:textId="55063E27" w:rsidR="00534346" w:rsidRDefault="006A43F0" w:rsidP="00A30A12">
            <w:r>
              <w:t xml:space="preserve">Členové Komise jsou jmenováni ministrem </w:t>
            </w:r>
            <w:r w:rsidR="00875D2A">
              <w:t xml:space="preserve">kultury </w:t>
            </w:r>
            <w:r>
              <w:t xml:space="preserve">z řad uznávaných osobností, které mají zkušenosti v oblasti audiovize, navržených profesními organizacemi definovanými v </w:t>
            </w:r>
            <w:r w:rsidRPr="006A43F0">
              <w:t>§ 14 odst. 2 zákona</w:t>
            </w:r>
            <w:r w:rsidR="00534346">
              <w:t>.</w:t>
            </w:r>
          </w:p>
          <w:p w14:paraId="43A1C795" w14:textId="73F2D0D7" w:rsidR="00E13CA1" w:rsidRDefault="00534346" w:rsidP="00A30A12">
            <w:r>
              <w:t xml:space="preserve">Těmito subjekty jsou </w:t>
            </w:r>
            <w:r w:rsidR="006A43F0" w:rsidRPr="006A43F0">
              <w:t>odborné právnické osoby působící v oblasti audiovize nejméně 3 roky (profesní organizace)</w:t>
            </w:r>
            <w:r w:rsidR="006A43F0">
              <w:t>, a to právnick</w:t>
            </w:r>
            <w:r>
              <w:t>é</w:t>
            </w:r>
            <w:r w:rsidR="006A43F0">
              <w:t xml:space="preserve"> </w:t>
            </w:r>
            <w:r>
              <w:t>osoby</w:t>
            </w:r>
            <w:r w:rsidR="006A43F0">
              <w:t xml:space="preserve"> </w:t>
            </w:r>
            <w:r w:rsidR="006A43F0" w:rsidRPr="006A43F0">
              <w:t>sdružující pouze autory audiovizuálních děl nebo děl audiovizuálně užitých</w:t>
            </w:r>
            <w:r w:rsidR="006A43F0">
              <w:t xml:space="preserve">, </w:t>
            </w:r>
            <w:r w:rsidR="006A43F0" w:rsidRPr="006A43F0">
              <w:t xml:space="preserve">spolky, obecně prospěšné společnosti, ústavy a zájmová sdružení právnických osob, </w:t>
            </w:r>
            <w:r>
              <w:t xml:space="preserve">s výjimkou kolektivních správců autorských práv nebo práv souvisejících s právem autorským, a dále </w:t>
            </w:r>
            <w:r w:rsidR="006A43F0" w:rsidRPr="006A43F0">
              <w:t>střední a vyšší odborné školy filmového zaměření a vysoké školy filmového zaměření</w:t>
            </w:r>
            <w:r w:rsidR="00875D2A">
              <w:t>.</w:t>
            </w:r>
            <w:r w:rsidR="006A43F0" w:rsidRPr="006A43F0">
              <w:t xml:space="preserve"> </w:t>
            </w:r>
          </w:p>
          <w:p w14:paraId="5407EF4F" w14:textId="77777777" w:rsidR="00534346" w:rsidRDefault="00534346" w:rsidP="00A30A12"/>
          <w:p w14:paraId="1881C32A" w14:textId="05099DDD" w:rsidR="00B765A4" w:rsidRDefault="00A30A12" w:rsidP="00A30A12">
            <w:r>
              <w:t xml:space="preserve">Členu Komise náleží za výkon jeho funkce odměna ve výši, kterou stanoví na návrh ministra vláda usnesením. </w:t>
            </w:r>
          </w:p>
          <w:p w14:paraId="06D81F01" w14:textId="5577E757" w:rsidR="00B765A4" w:rsidRPr="00D926E7" w:rsidRDefault="00B765A4" w:rsidP="00A30A12"/>
          <w:p w14:paraId="2F98164C" w14:textId="6B8B2E30" w:rsidR="00A30A12" w:rsidRPr="00D926E7" w:rsidRDefault="00A30A12" w:rsidP="00A30A12">
            <w:pPr>
              <w:rPr>
                <w:bCs/>
              </w:rPr>
            </w:pPr>
            <w:r w:rsidRPr="00D926E7">
              <w:rPr>
                <w:bCs/>
              </w:rPr>
              <w:t>Předpoklady členství v</w:t>
            </w:r>
            <w:r w:rsidR="00D926E7">
              <w:rPr>
                <w:bCs/>
              </w:rPr>
              <w:t> Komisi dle § 48 zákona</w:t>
            </w:r>
            <w:r w:rsidR="00875D2A">
              <w:rPr>
                <w:bCs/>
              </w:rPr>
              <w:t>:</w:t>
            </w:r>
            <w:r w:rsidR="00B12411" w:rsidRPr="00D926E7">
              <w:rPr>
                <w:bCs/>
              </w:rPr>
              <w:t xml:space="preserve"> </w:t>
            </w:r>
          </w:p>
          <w:p w14:paraId="789C2EC8" w14:textId="77777777" w:rsidR="00E13CA1" w:rsidRPr="00DB7318" w:rsidRDefault="00E13CA1" w:rsidP="00A30A12">
            <w:pPr>
              <w:rPr>
                <w:b/>
              </w:rPr>
            </w:pPr>
          </w:p>
          <w:p w14:paraId="1ABBB24F" w14:textId="77777777" w:rsidR="00A30A12" w:rsidRDefault="00A30A12" w:rsidP="00A30A12">
            <w:r>
              <w:t>1. Členem Komise může být fyzická osoba, která je</w:t>
            </w:r>
          </w:p>
          <w:p w14:paraId="2DB439B9" w14:textId="77777777" w:rsidR="00A30A12" w:rsidRDefault="00D92770" w:rsidP="00DB7318">
            <w:pPr>
              <w:pStyle w:val="Odstavecseseznamem"/>
              <w:numPr>
                <w:ilvl w:val="0"/>
                <w:numId w:val="18"/>
              </w:numPr>
              <w:spacing w:line="240" w:lineRule="auto"/>
            </w:pPr>
            <w:r>
              <w:t>plně svéprávná</w:t>
            </w:r>
            <w:r w:rsidR="00A30A12">
              <w:t>,</w:t>
            </w:r>
          </w:p>
          <w:p w14:paraId="76172A72" w14:textId="77777777" w:rsidR="00A30A12" w:rsidRDefault="00A30A12" w:rsidP="00DB7318">
            <w:pPr>
              <w:pStyle w:val="Odstavecseseznamem"/>
              <w:numPr>
                <w:ilvl w:val="0"/>
                <w:numId w:val="18"/>
              </w:numPr>
              <w:spacing w:line="240" w:lineRule="auto"/>
            </w:pPr>
            <w:r>
              <w:t xml:space="preserve">bezúhonná; za bezúhonného se nepovažuje ten, kdo byl pravomocně odsouzen pro úmyslný trestný čin, pokud se na něho nehledí, jako by nebyl odsouzen. </w:t>
            </w:r>
          </w:p>
          <w:p w14:paraId="71C4591D" w14:textId="77777777" w:rsidR="00A30A12" w:rsidRDefault="00A30A12" w:rsidP="00A30A12">
            <w:pPr>
              <w:spacing w:line="240" w:lineRule="auto"/>
            </w:pPr>
          </w:p>
          <w:p w14:paraId="149B9790" w14:textId="73877310" w:rsidR="00A30A12" w:rsidRDefault="00A30A12" w:rsidP="00A30A12">
            <w:r>
              <w:t>2. Člen Komise nesmí zastávat funkc</w:t>
            </w:r>
            <w:r w:rsidR="00AF163D">
              <w:t>i v politické straně nebo politickém hnutí</w:t>
            </w:r>
            <w:r>
              <w:t xml:space="preserve">, ani nesmí v jejich prospěch působit v souvislosti s výkonem funkce člena Komise. </w:t>
            </w:r>
          </w:p>
          <w:p w14:paraId="301223B0" w14:textId="77777777" w:rsidR="00E13CA1" w:rsidRDefault="00E13CA1" w:rsidP="00A30A12"/>
          <w:p w14:paraId="42EFEF81" w14:textId="56EF7549" w:rsidR="00A30A12" w:rsidRDefault="00A30A12" w:rsidP="00A30A12">
            <w:r>
              <w:t>3. Členství v Komisi je neslučitelné s funkcí prezidenta republiky, poslance, senátora, člena vlády nebo jeho náměstka, vedoucího ústředního orgánu státní správy</w:t>
            </w:r>
            <w:r w:rsidR="00B765A4">
              <w:t xml:space="preserve">, jeho </w:t>
            </w:r>
            <w:r>
              <w:t>náměstka</w:t>
            </w:r>
            <w:r w:rsidR="00B765A4">
              <w:t xml:space="preserve"> nebo místopředsedy</w:t>
            </w:r>
            <w:r>
              <w:t xml:space="preserve">, prezidenta Nejvyššího kontrolního úřadu </w:t>
            </w:r>
            <w:r w:rsidR="00B765A4">
              <w:t xml:space="preserve">nebo </w:t>
            </w:r>
            <w:r>
              <w:t xml:space="preserve">člena jeho kolegia, člena rady Českého telekomunikačního úřadu, člena bankovní rady České národní banky, člena Rady pro rozhlasové a televizní vysílání a člena Rady České televize. </w:t>
            </w:r>
            <w:r w:rsidR="00B765A4">
              <w:t xml:space="preserve">Členem Komise nesmí být rovněž </w:t>
            </w:r>
            <w:r w:rsidR="00B765A4" w:rsidRPr="00AF163D">
              <w:t>člen představenstva, člen rady, člen výboru nebo hodnotitel.</w:t>
            </w:r>
          </w:p>
          <w:p w14:paraId="09C3F62B" w14:textId="77777777" w:rsidR="00E13CA1" w:rsidRDefault="00E13CA1" w:rsidP="00A30A12"/>
          <w:p w14:paraId="3DC77BFB" w14:textId="0695642D" w:rsidR="00E13CA1" w:rsidRDefault="00A30A12" w:rsidP="00A30A12">
            <w:r>
              <w:t xml:space="preserve">4. </w:t>
            </w:r>
            <w:r w:rsidR="00B765A4">
              <w:t xml:space="preserve">Členství v Komisi </w:t>
            </w:r>
            <w:r>
              <w:t>je neslučiteln</w:t>
            </w:r>
            <w:r w:rsidR="00B765A4">
              <w:t>é</w:t>
            </w:r>
            <w:r>
              <w:t xml:space="preserve"> s</w:t>
            </w:r>
            <w:r w:rsidR="00D92770">
              <w:t xml:space="preserve">e základním pracovněprávním vztahem k Fondu. </w:t>
            </w:r>
            <w:r>
              <w:t xml:space="preserve"> </w:t>
            </w:r>
          </w:p>
          <w:p w14:paraId="28EC140B" w14:textId="77777777" w:rsidR="00D92770" w:rsidRDefault="00D92770" w:rsidP="00A30A12"/>
          <w:p w14:paraId="199C5843" w14:textId="77777777" w:rsidR="001856F7" w:rsidRPr="001856F7" w:rsidRDefault="001856F7" w:rsidP="00D926E7">
            <w:pPr>
              <w:pStyle w:val="Odstavecseseznamem"/>
            </w:pPr>
          </w:p>
        </w:tc>
      </w:tr>
      <w:tr w:rsidR="00FC3017" w:rsidRPr="001856F7" w14:paraId="0F01F6C3" w14:textId="77777777" w:rsidTr="00A847B5">
        <w:trPr>
          <w:trHeight w:val="567"/>
        </w:trPr>
        <w:tc>
          <w:tcPr>
            <w:tcW w:w="2263" w:type="dxa"/>
          </w:tcPr>
          <w:p w14:paraId="07DBEF0F" w14:textId="77777777" w:rsidR="00FC3017" w:rsidRPr="009C31C5" w:rsidRDefault="00FC3017" w:rsidP="003B54F8">
            <w:pPr>
              <w:rPr>
                <w:b/>
              </w:rPr>
            </w:pPr>
            <w:r w:rsidRPr="009C31C5">
              <w:rPr>
                <w:b/>
              </w:rPr>
              <w:lastRenderedPageBreak/>
              <w:t xml:space="preserve">Harmonogram </w:t>
            </w:r>
          </w:p>
        </w:tc>
        <w:tc>
          <w:tcPr>
            <w:tcW w:w="7264" w:type="dxa"/>
            <w:gridSpan w:val="2"/>
          </w:tcPr>
          <w:p w14:paraId="0FBA047E" w14:textId="12C75ED5" w:rsidR="00964FFE" w:rsidRDefault="00964FFE" w:rsidP="003B54F8">
            <w:r w:rsidRPr="00964FFE">
              <w:t xml:space="preserve">Podávání návrhů </w:t>
            </w:r>
            <w:r>
              <w:t xml:space="preserve">kandidátů na členství v Komisi: </w:t>
            </w:r>
            <w:r w:rsidRPr="00964FFE">
              <w:t>1</w:t>
            </w:r>
            <w:r w:rsidR="00027795">
              <w:t>3</w:t>
            </w:r>
            <w:r w:rsidRPr="00964FFE">
              <w:t xml:space="preserve">. ledna </w:t>
            </w:r>
            <w:r w:rsidR="00404694" w:rsidRPr="00964FFE">
              <w:t>202</w:t>
            </w:r>
            <w:r w:rsidR="00404694">
              <w:t>6–10</w:t>
            </w:r>
            <w:r>
              <w:t>.</w:t>
            </w:r>
            <w:r w:rsidR="00901320">
              <w:t xml:space="preserve"> </w:t>
            </w:r>
            <w:r>
              <w:t>února</w:t>
            </w:r>
            <w:r w:rsidRPr="00964FFE">
              <w:t xml:space="preserve"> 202</w:t>
            </w:r>
            <w:r>
              <w:t>6.</w:t>
            </w:r>
          </w:p>
          <w:p w14:paraId="50EDBF91" w14:textId="77777777" w:rsidR="00964FFE" w:rsidRDefault="00964FFE" w:rsidP="003B54F8"/>
          <w:p w14:paraId="38EB2E41" w14:textId="6BCFA303" w:rsidR="00201FB0" w:rsidRDefault="005337F7" w:rsidP="003B54F8">
            <w:r>
              <w:t>F</w:t>
            </w:r>
            <w:r w:rsidR="00964FFE" w:rsidRPr="00964FFE">
              <w:t xml:space="preserve">ond provede kontrolu formálních </w:t>
            </w:r>
            <w:r w:rsidRPr="00964FFE">
              <w:t xml:space="preserve">náležitostí </w:t>
            </w:r>
            <w:r>
              <w:t xml:space="preserve">návrhů </w:t>
            </w:r>
            <w:r w:rsidR="00964FFE" w:rsidRPr="00964FFE">
              <w:t xml:space="preserve">a </w:t>
            </w:r>
            <w:r>
              <w:t xml:space="preserve">ředitel </w:t>
            </w:r>
            <w:r w:rsidR="00BA786F">
              <w:t>F</w:t>
            </w:r>
            <w:r>
              <w:t xml:space="preserve">ondu </w:t>
            </w:r>
            <w:r w:rsidR="00964FFE" w:rsidRPr="00964FFE">
              <w:t>vyřad</w:t>
            </w:r>
            <w:r>
              <w:t>í</w:t>
            </w:r>
            <w:r w:rsidR="00964FFE" w:rsidRPr="00964FFE">
              <w:t xml:space="preserve"> návrhy podané po termínu,</w:t>
            </w:r>
            <w:r w:rsidRPr="005337F7">
              <w:t xml:space="preserve"> návrhy nesplňující náležitosti a návrhy </w:t>
            </w:r>
            <w:r w:rsidR="00FB5FBB">
              <w:t>podané</w:t>
            </w:r>
            <w:r w:rsidRPr="005337F7">
              <w:t xml:space="preserve"> po skončení lhůty k jejich podávání</w:t>
            </w:r>
            <w:r>
              <w:t xml:space="preserve">, a to nejpozději </w:t>
            </w:r>
            <w:r w:rsidRPr="005337F7">
              <w:t>do 3 týdnů od skončení lhůty k podávání návrhů</w:t>
            </w:r>
            <w:r w:rsidR="00964FFE" w:rsidRPr="00964FFE">
              <w:t xml:space="preserve">. </w:t>
            </w:r>
          </w:p>
          <w:p w14:paraId="6A19164F" w14:textId="77777777" w:rsidR="005337F7" w:rsidRDefault="005337F7" w:rsidP="003B54F8"/>
          <w:p w14:paraId="76FB1EB5" w14:textId="4661090C" w:rsidR="00BA786F" w:rsidRDefault="00201FB0" w:rsidP="005337F7">
            <w:r>
              <w:t>Ostatní návrhy</w:t>
            </w:r>
            <w:r w:rsidR="00964FFE" w:rsidRPr="00964FFE">
              <w:t xml:space="preserve"> předá </w:t>
            </w:r>
            <w:r w:rsidR="005337F7">
              <w:t xml:space="preserve">ředitel </w:t>
            </w:r>
            <w:r w:rsidR="00964FFE" w:rsidRPr="00964FFE">
              <w:t>Fond</w:t>
            </w:r>
            <w:r w:rsidR="005337F7">
              <w:t>u</w:t>
            </w:r>
            <w:r w:rsidR="00964FFE" w:rsidRPr="00964FFE">
              <w:t xml:space="preserve"> minist</w:t>
            </w:r>
            <w:r w:rsidR="00BA786F">
              <w:t>rovi kultury</w:t>
            </w:r>
            <w:r w:rsidR="00964FFE" w:rsidRPr="00964FFE">
              <w:t xml:space="preserve">. </w:t>
            </w:r>
            <w:r w:rsidR="00147242">
              <w:t>Ministr kultury</w:t>
            </w:r>
            <w:r w:rsidR="00C06E29">
              <w:t xml:space="preserve"> v souladu s ustanovením §</w:t>
            </w:r>
            <w:r w:rsidR="00B12411">
              <w:t xml:space="preserve"> </w:t>
            </w:r>
            <w:r w:rsidR="00BA786F">
              <w:t>47</w:t>
            </w:r>
            <w:r w:rsidR="00C06E29">
              <w:t xml:space="preserve"> odst.</w:t>
            </w:r>
            <w:r w:rsidR="00B12411">
              <w:t xml:space="preserve"> </w:t>
            </w:r>
            <w:r w:rsidR="00BA786F">
              <w:t>1</w:t>
            </w:r>
            <w:r w:rsidR="00C06E29">
              <w:t xml:space="preserve"> </w:t>
            </w:r>
            <w:r w:rsidR="00BA786F">
              <w:t>zákona jmenuje</w:t>
            </w:r>
            <w:r w:rsidR="00C06E29">
              <w:t xml:space="preserve"> z předložených kandidátů </w:t>
            </w:r>
            <w:r w:rsidR="00BA786F">
              <w:t>5</w:t>
            </w:r>
            <w:r w:rsidR="00346AA1">
              <w:t xml:space="preserve"> </w:t>
            </w:r>
            <w:r w:rsidR="00C06E29">
              <w:t>člen</w:t>
            </w:r>
            <w:r w:rsidR="00BA786F">
              <w:t>ů komise.</w:t>
            </w:r>
          </w:p>
          <w:p w14:paraId="51163385" w14:textId="77777777" w:rsidR="00BA786F" w:rsidRDefault="00BA786F" w:rsidP="005337F7"/>
          <w:p w14:paraId="25E04DF0" w14:textId="7AC6CCCB" w:rsidR="005337F7" w:rsidRDefault="00BA786F" w:rsidP="005337F7">
            <w:r w:rsidRPr="00BA786F">
              <w:t>Fond zveřej</w:t>
            </w:r>
            <w:r>
              <w:t>ní</w:t>
            </w:r>
            <w:r w:rsidRPr="00BA786F">
              <w:t xml:space="preserve"> přehled kandidatur předložených ministrovi </w:t>
            </w:r>
            <w:r w:rsidR="005337F7">
              <w:t xml:space="preserve">prostřednictvím webu Fondu, a to v rozsahu jména a příjmení kandidáta a identifikace jeho navrhovatele. </w:t>
            </w:r>
          </w:p>
          <w:p w14:paraId="2D5E2018" w14:textId="550743BA" w:rsidR="005337F7" w:rsidRPr="001856F7" w:rsidRDefault="005337F7" w:rsidP="00201FB0"/>
        </w:tc>
      </w:tr>
    </w:tbl>
    <w:p w14:paraId="5964599A" w14:textId="77777777" w:rsidR="00EF092D" w:rsidRPr="009B7562" w:rsidRDefault="00EF092D" w:rsidP="00A847B5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5B85" w14:textId="77777777" w:rsidR="00FD6763" w:rsidRPr="00194C0B" w:rsidRDefault="00FD6763" w:rsidP="00194C0B">
      <w:r>
        <w:separator/>
      </w:r>
    </w:p>
    <w:p w14:paraId="4745EE88" w14:textId="77777777" w:rsidR="00FD6763" w:rsidRDefault="00FD6763"/>
  </w:endnote>
  <w:endnote w:type="continuationSeparator" w:id="0">
    <w:p w14:paraId="102EF10A" w14:textId="77777777" w:rsidR="00FD6763" w:rsidRPr="00194C0B" w:rsidRDefault="00FD6763" w:rsidP="00194C0B">
      <w:r>
        <w:continuationSeparator/>
      </w:r>
    </w:p>
    <w:p w14:paraId="73E1D888" w14:textId="77777777" w:rsidR="00FD6763" w:rsidRDefault="00FD6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C1C1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4D21060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6304B1">
          <w:rPr>
            <w:noProof/>
          </w:rPr>
          <w:t>2</w:t>
        </w:r>
        <w:r w:rsidR="00CE254D" w:rsidRPr="00194C0B">
          <w:fldChar w:fldCharType="end"/>
        </w:r>
      </w:p>
    </w:sdtContent>
  </w:sdt>
  <w:p w14:paraId="29CB0586" w14:textId="77777777" w:rsidR="002E482D" w:rsidRDefault="002E482D" w:rsidP="00194C0B"/>
  <w:p w14:paraId="6C9FA691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714C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D367" w14:textId="77777777" w:rsidR="00FD6763" w:rsidRPr="00194C0B" w:rsidRDefault="00FD6763" w:rsidP="00194C0B">
      <w:r>
        <w:separator/>
      </w:r>
    </w:p>
    <w:p w14:paraId="396FC493" w14:textId="77777777" w:rsidR="00FD6763" w:rsidRDefault="00FD6763"/>
  </w:footnote>
  <w:footnote w:type="continuationSeparator" w:id="0">
    <w:p w14:paraId="7BFBC46F" w14:textId="77777777" w:rsidR="00FD6763" w:rsidRPr="00194C0B" w:rsidRDefault="00FD6763" w:rsidP="00194C0B">
      <w:r>
        <w:continuationSeparator/>
      </w:r>
    </w:p>
    <w:p w14:paraId="04ABD6AE" w14:textId="77777777" w:rsidR="00FD6763" w:rsidRDefault="00FD6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77F4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CFC4" w14:textId="77777777" w:rsidR="009A02E7" w:rsidRPr="00194C0B" w:rsidRDefault="009A02E7" w:rsidP="00194C0B">
    <w:r w:rsidRPr="00194C0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3A741D4" wp14:editId="0295448D">
          <wp:simplePos x="0" y="0"/>
          <wp:positionH relativeFrom="page">
            <wp:posOffset>0</wp:posOffset>
          </wp:positionH>
          <wp:positionV relativeFrom="paragraph">
            <wp:posOffset>-450188</wp:posOffset>
          </wp:positionV>
          <wp:extent cx="7555230" cy="10686995"/>
          <wp:effectExtent l="19050" t="0" r="7620" b="0"/>
          <wp:wrapNone/>
          <wp:docPr id="3" name="Obrázek 2" descr="sfk-dopisni-papir-bg-01-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k-dopisni-papir-bg-01-tm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AA5544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5FC9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40C614F"/>
    <w:multiLevelType w:val="hybridMultilevel"/>
    <w:tmpl w:val="CDF6CC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4C6C14"/>
    <w:multiLevelType w:val="hybridMultilevel"/>
    <w:tmpl w:val="11460FE4"/>
    <w:lvl w:ilvl="0" w:tplc="292831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1B1A7C"/>
    <w:multiLevelType w:val="hybridMultilevel"/>
    <w:tmpl w:val="2F02C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44AB"/>
    <w:multiLevelType w:val="hybridMultilevel"/>
    <w:tmpl w:val="4BF45AC0"/>
    <w:lvl w:ilvl="0" w:tplc="E836F46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0" w15:restartNumberingAfterBreak="0">
    <w:nsid w:val="279F3238"/>
    <w:multiLevelType w:val="hybridMultilevel"/>
    <w:tmpl w:val="B51C8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252BD"/>
    <w:multiLevelType w:val="hybridMultilevel"/>
    <w:tmpl w:val="B3FEC6D6"/>
    <w:lvl w:ilvl="0" w:tplc="1C3EB86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656F9D"/>
    <w:multiLevelType w:val="hybridMultilevel"/>
    <w:tmpl w:val="41B8A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0160ED"/>
    <w:multiLevelType w:val="hybridMultilevel"/>
    <w:tmpl w:val="6688E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64226"/>
    <w:multiLevelType w:val="hybridMultilevel"/>
    <w:tmpl w:val="E59E95F8"/>
    <w:lvl w:ilvl="0" w:tplc="04050017">
      <w:start w:val="1"/>
      <w:numFmt w:val="lowerLetter"/>
      <w:lvlText w:val="%1)"/>
      <w:lvlJc w:val="left"/>
      <w:pPr>
        <w:ind w:left="962" w:hanging="360"/>
      </w:p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6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BC222C"/>
    <w:multiLevelType w:val="hybridMultilevel"/>
    <w:tmpl w:val="318E6C9C"/>
    <w:lvl w:ilvl="0" w:tplc="04050017">
      <w:start w:val="1"/>
      <w:numFmt w:val="lowerLetter"/>
      <w:lvlText w:val="%1)"/>
      <w:lvlJc w:val="left"/>
      <w:pPr>
        <w:ind w:left="962" w:hanging="360"/>
      </w:p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9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466CB9"/>
    <w:multiLevelType w:val="hybridMultilevel"/>
    <w:tmpl w:val="2A18259A"/>
    <w:lvl w:ilvl="0" w:tplc="C85057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536548375">
    <w:abstractNumId w:val="16"/>
  </w:num>
  <w:num w:numId="2" w16cid:durableId="772171713">
    <w:abstractNumId w:val="1"/>
  </w:num>
  <w:num w:numId="3" w16cid:durableId="48657344">
    <w:abstractNumId w:val="21"/>
  </w:num>
  <w:num w:numId="4" w16cid:durableId="128714404">
    <w:abstractNumId w:val="13"/>
  </w:num>
  <w:num w:numId="5" w16cid:durableId="1943952252">
    <w:abstractNumId w:val="4"/>
  </w:num>
  <w:num w:numId="6" w16cid:durableId="1110123839">
    <w:abstractNumId w:val="17"/>
  </w:num>
  <w:num w:numId="7" w16cid:durableId="772016120">
    <w:abstractNumId w:val="6"/>
  </w:num>
  <w:num w:numId="8" w16cid:durableId="1371613510">
    <w:abstractNumId w:val="22"/>
  </w:num>
  <w:num w:numId="9" w16cid:durableId="195392492">
    <w:abstractNumId w:val="23"/>
  </w:num>
  <w:num w:numId="10" w16cid:durableId="140313303">
    <w:abstractNumId w:val="0"/>
  </w:num>
  <w:num w:numId="11" w16cid:durableId="1286616901">
    <w:abstractNumId w:val="2"/>
  </w:num>
  <w:num w:numId="12" w16cid:durableId="1562520082">
    <w:abstractNumId w:val="19"/>
  </w:num>
  <w:num w:numId="13" w16cid:durableId="177937524">
    <w:abstractNumId w:val="9"/>
  </w:num>
  <w:num w:numId="14" w16cid:durableId="1490250121">
    <w:abstractNumId w:val="15"/>
  </w:num>
  <w:num w:numId="15" w16cid:durableId="18706312">
    <w:abstractNumId w:val="18"/>
  </w:num>
  <w:num w:numId="16" w16cid:durableId="21007132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769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27699">
    <w:abstractNumId w:val="12"/>
  </w:num>
  <w:num w:numId="19" w16cid:durableId="1810123783">
    <w:abstractNumId w:val="11"/>
  </w:num>
  <w:num w:numId="20" w16cid:durableId="1951664486">
    <w:abstractNumId w:val="14"/>
  </w:num>
  <w:num w:numId="21" w16cid:durableId="1631278586">
    <w:abstractNumId w:val="20"/>
  </w:num>
  <w:num w:numId="22" w16cid:durableId="1818493678">
    <w:abstractNumId w:val="3"/>
  </w:num>
  <w:num w:numId="23" w16cid:durableId="883370004">
    <w:abstractNumId w:val="8"/>
  </w:num>
  <w:num w:numId="24" w16cid:durableId="1460607342">
    <w:abstractNumId w:val="10"/>
  </w:num>
  <w:num w:numId="25" w16cid:durableId="2039159115">
    <w:abstractNumId w:val="5"/>
  </w:num>
  <w:num w:numId="26" w16cid:durableId="100428768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27795"/>
    <w:rsid w:val="00031D8D"/>
    <w:rsid w:val="00047163"/>
    <w:rsid w:val="00052203"/>
    <w:rsid w:val="00064961"/>
    <w:rsid w:val="00067E42"/>
    <w:rsid w:val="00071A0B"/>
    <w:rsid w:val="000824AC"/>
    <w:rsid w:val="00083066"/>
    <w:rsid w:val="00093D06"/>
    <w:rsid w:val="0009671F"/>
    <w:rsid w:val="000A60AA"/>
    <w:rsid w:val="000B1C78"/>
    <w:rsid w:val="000B6A0F"/>
    <w:rsid w:val="000D7E12"/>
    <w:rsid w:val="000E42FE"/>
    <w:rsid w:val="0010586F"/>
    <w:rsid w:val="00126750"/>
    <w:rsid w:val="00147242"/>
    <w:rsid w:val="00164EF3"/>
    <w:rsid w:val="001856F7"/>
    <w:rsid w:val="0019255D"/>
    <w:rsid w:val="00194C0B"/>
    <w:rsid w:val="001C46E0"/>
    <w:rsid w:val="001C5059"/>
    <w:rsid w:val="001F162D"/>
    <w:rsid w:val="00201A4A"/>
    <w:rsid w:val="00201FB0"/>
    <w:rsid w:val="00204230"/>
    <w:rsid w:val="00234A96"/>
    <w:rsid w:val="0024108C"/>
    <w:rsid w:val="0025588A"/>
    <w:rsid w:val="00270018"/>
    <w:rsid w:val="0027610B"/>
    <w:rsid w:val="00277F11"/>
    <w:rsid w:val="002854A4"/>
    <w:rsid w:val="0029369D"/>
    <w:rsid w:val="002A07D0"/>
    <w:rsid w:val="002A1469"/>
    <w:rsid w:val="002C4A76"/>
    <w:rsid w:val="002D1720"/>
    <w:rsid w:val="002D7031"/>
    <w:rsid w:val="002E482D"/>
    <w:rsid w:val="00305A00"/>
    <w:rsid w:val="00307445"/>
    <w:rsid w:val="003213F3"/>
    <w:rsid w:val="00346AA1"/>
    <w:rsid w:val="00350463"/>
    <w:rsid w:val="00371F2C"/>
    <w:rsid w:val="003766C8"/>
    <w:rsid w:val="00376E5C"/>
    <w:rsid w:val="00390D4E"/>
    <w:rsid w:val="003A158D"/>
    <w:rsid w:val="003A44F7"/>
    <w:rsid w:val="003B11CF"/>
    <w:rsid w:val="003B54F8"/>
    <w:rsid w:val="003C7266"/>
    <w:rsid w:val="003E11C4"/>
    <w:rsid w:val="003E621A"/>
    <w:rsid w:val="003E6C9B"/>
    <w:rsid w:val="003E7410"/>
    <w:rsid w:val="00404694"/>
    <w:rsid w:val="004128DD"/>
    <w:rsid w:val="0045049B"/>
    <w:rsid w:val="00457480"/>
    <w:rsid w:val="004642D0"/>
    <w:rsid w:val="0047428B"/>
    <w:rsid w:val="00476B4D"/>
    <w:rsid w:val="00480C92"/>
    <w:rsid w:val="00481EBC"/>
    <w:rsid w:val="004A0914"/>
    <w:rsid w:val="004A47A9"/>
    <w:rsid w:val="004A5FAD"/>
    <w:rsid w:val="004B3135"/>
    <w:rsid w:val="004C7623"/>
    <w:rsid w:val="004F1E64"/>
    <w:rsid w:val="005152D4"/>
    <w:rsid w:val="005337F7"/>
    <w:rsid w:val="00534346"/>
    <w:rsid w:val="00534D41"/>
    <w:rsid w:val="00550047"/>
    <w:rsid w:val="00550279"/>
    <w:rsid w:val="00553C31"/>
    <w:rsid w:val="00565329"/>
    <w:rsid w:val="00590F8A"/>
    <w:rsid w:val="005B080D"/>
    <w:rsid w:val="005C4E6A"/>
    <w:rsid w:val="006107CB"/>
    <w:rsid w:val="00620CF3"/>
    <w:rsid w:val="006254E9"/>
    <w:rsid w:val="0062660A"/>
    <w:rsid w:val="006304B1"/>
    <w:rsid w:val="00632CAE"/>
    <w:rsid w:val="0064203E"/>
    <w:rsid w:val="00651A13"/>
    <w:rsid w:val="00651B3D"/>
    <w:rsid w:val="00657C12"/>
    <w:rsid w:val="0067538E"/>
    <w:rsid w:val="00676070"/>
    <w:rsid w:val="00686BFE"/>
    <w:rsid w:val="006969DC"/>
    <w:rsid w:val="006A287A"/>
    <w:rsid w:val="006A43F0"/>
    <w:rsid w:val="006F1C50"/>
    <w:rsid w:val="00720CAF"/>
    <w:rsid w:val="00746477"/>
    <w:rsid w:val="00750336"/>
    <w:rsid w:val="00754255"/>
    <w:rsid w:val="00765B1C"/>
    <w:rsid w:val="00771DED"/>
    <w:rsid w:val="0077768C"/>
    <w:rsid w:val="007800D0"/>
    <w:rsid w:val="00782091"/>
    <w:rsid w:val="00797050"/>
    <w:rsid w:val="007B0FAA"/>
    <w:rsid w:val="007C6688"/>
    <w:rsid w:val="007D4D2B"/>
    <w:rsid w:val="007F5403"/>
    <w:rsid w:val="007F7079"/>
    <w:rsid w:val="00801FCD"/>
    <w:rsid w:val="008072E5"/>
    <w:rsid w:val="00807AE5"/>
    <w:rsid w:val="00814274"/>
    <w:rsid w:val="00815AB2"/>
    <w:rsid w:val="00824B4A"/>
    <w:rsid w:val="0084256E"/>
    <w:rsid w:val="00872F11"/>
    <w:rsid w:val="0087485A"/>
    <w:rsid w:val="00875D2A"/>
    <w:rsid w:val="00890387"/>
    <w:rsid w:val="00893251"/>
    <w:rsid w:val="00895214"/>
    <w:rsid w:val="008A0410"/>
    <w:rsid w:val="008B5841"/>
    <w:rsid w:val="008D6C0A"/>
    <w:rsid w:val="008E0E8B"/>
    <w:rsid w:val="008E45A3"/>
    <w:rsid w:val="00901320"/>
    <w:rsid w:val="0090255C"/>
    <w:rsid w:val="009061FB"/>
    <w:rsid w:val="00925915"/>
    <w:rsid w:val="00926167"/>
    <w:rsid w:val="0093566C"/>
    <w:rsid w:val="0096385B"/>
    <w:rsid w:val="00964FFE"/>
    <w:rsid w:val="009A02E7"/>
    <w:rsid w:val="009B7562"/>
    <w:rsid w:val="009C31C5"/>
    <w:rsid w:val="009D7BFF"/>
    <w:rsid w:val="00A21162"/>
    <w:rsid w:val="00A26576"/>
    <w:rsid w:val="00A26849"/>
    <w:rsid w:val="00A30A12"/>
    <w:rsid w:val="00A540A2"/>
    <w:rsid w:val="00A72167"/>
    <w:rsid w:val="00A847B5"/>
    <w:rsid w:val="00A9420D"/>
    <w:rsid w:val="00AB30E6"/>
    <w:rsid w:val="00AE225E"/>
    <w:rsid w:val="00AF163D"/>
    <w:rsid w:val="00B12411"/>
    <w:rsid w:val="00B211BA"/>
    <w:rsid w:val="00B34F33"/>
    <w:rsid w:val="00B37BC8"/>
    <w:rsid w:val="00B41C1A"/>
    <w:rsid w:val="00B45A99"/>
    <w:rsid w:val="00B45D36"/>
    <w:rsid w:val="00B720AF"/>
    <w:rsid w:val="00B765A4"/>
    <w:rsid w:val="00B872F8"/>
    <w:rsid w:val="00BA11C7"/>
    <w:rsid w:val="00BA2188"/>
    <w:rsid w:val="00BA786F"/>
    <w:rsid w:val="00BB1707"/>
    <w:rsid w:val="00BB53C7"/>
    <w:rsid w:val="00BE4674"/>
    <w:rsid w:val="00BE58D4"/>
    <w:rsid w:val="00BE7DF2"/>
    <w:rsid w:val="00C06E29"/>
    <w:rsid w:val="00C220D8"/>
    <w:rsid w:val="00C74CEF"/>
    <w:rsid w:val="00C762BD"/>
    <w:rsid w:val="00C76BB4"/>
    <w:rsid w:val="00C809ED"/>
    <w:rsid w:val="00C90332"/>
    <w:rsid w:val="00CA3C76"/>
    <w:rsid w:val="00CB4639"/>
    <w:rsid w:val="00CC45A0"/>
    <w:rsid w:val="00CC7B97"/>
    <w:rsid w:val="00CE1BCB"/>
    <w:rsid w:val="00CE254D"/>
    <w:rsid w:val="00CE377B"/>
    <w:rsid w:val="00CF020F"/>
    <w:rsid w:val="00D03920"/>
    <w:rsid w:val="00D05E96"/>
    <w:rsid w:val="00D15B71"/>
    <w:rsid w:val="00D74A8C"/>
    <w:rsid w:val="00D75EBD"/>
    <w:rsid w:val="00D925E1"/>
    <w:rsid w:val="00D926E7"/>
    <w:rsid w:val="00D92770"/>
    <w:rsid w:val="00DB5A73"/>
    <w:rsid w:val="00DB7318"/>
    <w:rsid w:val="00DD541D"/>
    <w:rsid w:val="00DF1033"/>
    <w:rsid w:val="00DF6222"/>
    <w:rsid w:val="00E13CA1"/>
    <w:rsid w:val="00E3774C"/>
    <w:rsid w:val="00E44249"/>
    <w:rsid w:val="00E510BF"/>
    <w:rsid w:val="00E524EF"/>
    <w:rsid w:val="00E66C1C"/>
    <w:rsid w:val="00E80523"/>
    <w:rsid w:val="00E96FD9"/>
    <w:rsid w:val="00EA39BA"/>
    <w:rsid w:val="00EE34B1"/>
    <w:rsid w:val="00EF092D"/>
    <w:rsid w:val="00EF34BE"/>
    <w:rsid w:val="00F04E5B"/>
    <w:rsid w:val="00F16B28"/>
    <w:rsid w:val="00F3745E"/>
    <w:rsid w:val="00F41363"/>
    <w:rsid w:val="00F41618"/>
    <w:rsid w:val="00F42453"/>
    <w:rsid w:val="00F657C0"/>
    <w:rsid w:val="00F85EA7"/>
    <w:rsid w:val="00FB3083"/>
    <w:rsid w:val="00FB5FBB"/>
    <w:rsid w:val="00FC3017"/>
    <w:rsid w:val="00FD5AB3"/>
    <w:rsid w:val="00FD676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E3624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semiHidden/>
    <w:unhideWhenUsed/>
    <w:locked/>
    <w:rsid w:val="001856F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A30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A30A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0A1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30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A12"/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locked/>
    <w:rsid w:val="00E1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9F9D-524E-48BE-8123-EBCED2D2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Státní fond kinematografie</dc:creator>
  <cp:lastModifiedBy>Pavla  Mrázková</cp:lastModifiedBy>
  <cp:revision>7</cp:revision>
  <cp:lastPrinted>2019-02-05T11:55:00Z</cp:lastPrinted>
  <dcterms:created xsi:type="dcterms:W3CDTF">2026-01-02T12:40:00Z</dcterms:created>
  <dcterms:modified xsi:type="dcterms:W3CDTF">2026-01-13T09:24:00Z</dcterms:modified>
</cp:coreProperties>
</file>